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新桥国际机场高速公路监控管理中心园区修缮工程活动家具采购及安装项目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
      <w:pPr>
        <w:pStyle w:val="2"/>
        <w:rPr>
          <w:rFonts w:ascii="Times New Roman" w:hAnsi="Times New Roman" w:cs="Times New Roman"/>
          <w:szCs w:val="21"/>
        </w:rPr>
      </w:pPr>
    </w:p>
    <w:p>
      <w:pPr>
        <w:pStyle w:val="2"/>
        <w:rPr>
          <w:rFonts w:ascii="Times New Roman" w:hAnsi="Times New Roman" w:cs="Times New Roman"/>
          <w:szCs w:val="21"/>
        </w:rPr>
      </w:pPr>
    </w:p>
    <w:p>
      <w:pPr>
        <w:pStyle w:val="11"/>
        <w:rPr>
          <w:rFonts w:ascii="Times New Roman" w:hAnsi="Times New Roman" w:cs="Times New Roman"/>
          <w:szCs w:val="21"/>
        </w:rPr>
      </w:pPr>
    </w:p>
    <w:p>
      <w:pPr>
        <w:jc w:val="center"/>
        <w:rPr>
          <w:rFonts w:hint="eastAsia" w:ascii="Times New Roman" w:hAnsi="Times New Roman" w:eastAsia="黑体" w:cs="Times New Roman"/>
          <w:sz w:val="72"/>
          <w:szCs w:val="72"/>
          <w:lang w:eastAsia="zh-CN"/>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ascii="Times New Roman" w:hAnsi="Times New Roman" w:eastAsia="黑体" w:cs="Times New Roman"/>
          <w:sz w:val="32"/>
          <w:szCs w:val="32"/>
          <w:u w:val="single"/>
        </w:rPr>
      </w:pPr>
      <w:r>
        <w:rPr>
          <w:rFonts w:ascii="Times New Roman" w:hAnsi="Times New Roman" w:eastAsia="黑体" w:cs="Times New Roman"/>
          <w:sz w:val="32"/>
          <w:szCs w:val="32"/>
        </w:rPr>
        <w:t>采</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购</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人：</w:t>
      </w:r>
      <w:r>
        <w:rPr>
          <w:rFonts w:ascii="Times New Roman" w:hAnsi="Times New Roman" w:eastAsia="黑体" w:cs="Times New Roman"/>
          <w:sz w:val="32"/>
          <w:szCs w:val="32"/>
          <w:u w:val="single"/>
        </w:rPr>
        <w:t xml:space="preserve"> 安徽</w:t>
      </w:r>
      <w:r>
        <w:rPr>
          <w:rFonts w:hint="eastAsia" w:ascii="Times New Roman" w:hAnsi="Times New Roman" w:eastAsia="黑体" w:cs="Times New Roman"/>
          <w:sz w:val="32"/>
          <w:szCs w:val="32"/>
          <w:u w:val="single"/>
          <w:lang w:val="en-US" w:eastAsia="zh-CN"/>
        </w:rPr>
        <w:t>省经工物资</w:t>
      </w:r>
      <w:r>
        <w:rPr>
          <w:rFonts w:ascii="Times New Roman" w:hAnsi="Times New Roman" w:eastAsia="黑体" w:cs="Times New Roman"/>
          <w:sz w:val="32"/>
          <w:szCs w:val="32"/>
          <w:u w:val="single"/>
        </w:rPr>
        <w:t>有限公司</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ascii="Times New Roman" w:hAnsi="Times New Roman" w:cs="Times New Roman"/>
          <w:sz w:val="32"/>
          <w:szCs w:val="32"/>
          <w:highlight w:val="yellow"/>
        </w:rPr>
      </w:pPr>
      <w:r>
        <w:rPr>
          <w:rFonts w:hint="eastAsia" w:ascii="黑体" w:hAnsi="黑体" w:eastAsia="黑体" w:cs="黑体"/>
          <w:sz w:val="32"/>
          <w:szCs w:val="32"/>
          <w:lang w:val="en-US" w:eastAsia="zh-CN"/>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202</w:t>
      </w:r>
      <w:r>
        <w:rPr>
          <w:rFonts w:hint="eastAsia" w:ascii="Times New Roman" w:hAnsi="Times New Roman" w:eastAsia="黑体" w:cs="Times New Roman"/>
          <w:sz w:val="32"/>
          <w:szCs w:val="32"/>
          <w:highlight w:val="none"/>
          <w:u w:val="single"/>
          <w:lang w:val="en-US" w:eastAsia="zh-CN"/>
        </w:rPr>
        <w:t xml:space="preserve">3  </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年</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 xml:space="preserve"> 10 </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月</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 xml:space="preserve"> 30</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Times New Roman" w:hAnsi="Times New Roman" w:cs="Times New Roman"/>
          <w:sz w:val="32"/>
          <w:szCs w:val="32"/>
        </w:rPr>
      </w:pPr>
    </w:p>
    <w:p>
      <w:pPr>
        <w:snapToGrid w:val="0"/>
        <w:ind w:firstLine="1920" w:firstLineChars="600"/>
        <w:rPr>
          <w:rFonts w:ascii="Times New Roman" w:hAnsi="Times New Roman" w:cs="Times New Roman"/>
          <w:sz w:val="32"/>
          <w:szCs w:val="32"/>
        </w:rPr>
      </w:pPr>
    </w:p>
    <w:p>
      <w:pPr>
        <w:ind w:left="1896" w:leftChars="903"/>
        <w:rPr>
          <w:rFonts w:ascii="Times New Roman" w:hAnsi="Times New Roman" w:eastAsia="宋体" w:cs="Times New Roman"/>
          <w:sz w:val="24"/>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kern w:val="2"/>
          <w:sz w:val="21"/>
          <w:szCs w:val="24"/>
          <w:lang w:val="en-US" w:eastAsia="zh-CN" w:bidi="ar-SA"/>
        </w:rPr>
        <w:id w:val="147468455"/>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3"/>
            <w:tabs>
              <w:tab w:val="right" w:leader="dot" w:pos="8312"/>
            </w:tabs>
          </w:pPr>
          <w:r>
            <w:rPr>
              <w:rFonts w:ascii="宋体" w:hAnsi="宋体" w:eastAsia="宋体"/>
            </w:rPr>
            <w:fldChar w:fldCharType="begin"/>
          </w:r>
          <w:r>
            <w:rPr>
              <w:rFonts w:ascii="宋体" w:hAnsi="宋体" w:eastAsia="宋体"/>
            </w:rPr>
            <w:instrText xml:space="preserve">TOC \o "1-1" \h \u </w:instrText>
          </w:r>
          <w:r>
            <w:rPr>
              <w:rFonts w:ascii="宋体" w:hAnsi="宋体" w:eastAsia="宋体"/>
            </w:rPr>
            <w:fldChar w:fldCharType="separate"/>
          </w:r>
          <w:r>
            <w:rPr>
              <w:rFonts w:ascii="宋体" w:hAnsi="宋体" w:eastAsia="宋体"/>
            </w:rPr>
            <w:fldChar w:fldCharType="begin"/>
          </w:r>
          <w:r>
            <w:rPr>
              <w:rFonts w:ascii="宋体" w:hAnsi="宋体" w:eastAsia="宋体"/>
            </w:rPr>
            <w:instrText xml:space="preserve"> HYPERLINK \l _Toc23966 </w:instrText>
          </w:r>
          <w:r>
            <w:rPr>
              <w:rFonts w:ascii="宋体" w:hAnsi="宋体" w:eastAsia="宋体"/>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rPr>
            <w:t>采购公告</w:t>
          </w:r>
          <w:r>
            <w:tab/>
          </w:r>
          <w:r>
            <w:fldChar w:fldCharType="begin"/>
          </w:r>
          <w:r>
            <w:instrText xml:space="preserve"> PAGEREF _Toc23966 \h </w:instrText>
          </w:r>
          <w:r>
            <w:fldChar w:fldCharType="separate"/>
          </w:r>
          <w:r>
            <w:t>3</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_Toc26240 </w:instrText>
          </w:r>
          <w:r>
            <w:rPr>
              <w:rFonts w:ascii="宋体" w:hAnsi="宋体" w:eastAsia="宋体"/>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rPr>
            <w:t>供应商须知</w:t>
          </w:r>
          <w:r>
            <w:tab/>
          </w:r>
          <w:r>
            <w:fldChar w:fldCharType="begin"/>
          </w:r>
          <w:r>
            <w:instrText xml:space="preserve"> PAGEREF _Toc26240 \h </w:instrText>
          </w:r>
          <w:r>
            <w:fldChar w:fldCharType="separate"/>
          </w:r>
          <w:r>
            <w:t>6</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_Toc2394 </w:instrText>
          </w:r>
          <w:r>
            <w:rPr>
              <w:rFonts w:ascii="宋体" w:hAnsi="宋体" w:eastAsia="宋体"/>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rPr>
            <w:t>评审办法</w:t>
          </w:r>
          <w:r>
            <w:tab/>
          </w:r>
          <w:r>
            <w:fldChar w:fldCharType="begin"/>
          </w:r>
          <w:r>
            <w:instrText xml:space="preserve"> PAGEREF _Toc2394 \h </w:instrText>
          </w:r>
          <w:r>
            <w:fldChar w:fldCharType="separate"/>
          </w:r>
          <w:r>
            <w:t>16</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_Toc25343 </w:instrText>
          </w:r>
          <w:r>
            <w:rPr>
              <w:rFonts w:ascii="宋体" w:hAnsi="宋体" w:eastAsia="宋体"/>
            </w:rPr>
            <w:fldChar w:fldCharType="separate"/>
          </w:r>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r>
            <w:tab/>
          </w:r>
          <w:r>
            <w:fldChar w:fldCharType="begin"/>
          </w:r>
          <w:r>
            <w:instrText xml:space="preserve"> PAGEREF _Toc25343 \h </w:instrText>
          </w:r>
          <w:r>
            <w:fldChar w:fldCharType="separate"/>
          </w:r>
          <w:r>
            <w:t>23</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_Toc24422 </w:instrText>
          </w:r>
          <w:r>
            <w:rPr>
              <w:rFonts w:ascii="宋体" w:hAnsi="宋体" w:eastAsia="宋体"/>
            </w:rPr>
            <w:fldChar w:fldCharType="separate"/>
          </w:r>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r>
            <w:tab/>
          </w:r>
          <w:r>
            <w:fldChar w:fldCharType="begin"/>
          </w:r>
          <w:r>
            <w:instrText xml:space="preserve"> PAGEREF _Toc24422 \h </w:instrText>
          </w:r>
          <w:r>
            <w:fldChar w:fldCharType="separate"/>
          </w:r>
          <w:r>
            <w:t>37</w:t>
          </w:r>
          <w:r>
            <w:fldChar w:fldCharType="end"/>
          </w:r>
          <w:r>
            <w:rPr>
              <w:rFonts w:ascii="宋体" w:hAnsi="宋体" w:eastAsia="宋体"/>
            </w:rPr>
            <w:fldChar w:fldCharType="end"/>
          </w:r>
        </w:p>
        <w:p>
          <w:pPr>
            <w:pStyle w:val="13"/>
            <w:tabs>
              <w:tab w:val="right" w:leader="dot" w:pos="8312"/>
            </w:tabs>
          </w:pPr>
          <w:r>
            <w:rPr>
              <w:rFonts w:ascii="宋体" w:hAnsi="宋体" w:eastAsia="宋体"/>
            </w:rPr>
            <w:fldChar w:fldCharType="begin"/>
          </w:r>
          <w:r>
            <w:rPr>
              <w:rFonts w:ascii="宋体" w:hAnsi="宋体" w:eastAsia="宋体"/>
            </w:rPr>
            <w:instrText xml:space="preserve"> HYPERLINK \l _Toc7773 </w:instrText>
          </w:r>
          <w:r>
            <w:rPr>
              <w:rFonts w:ascii="宋体" w:hAnsi="宋体" w:eastAsia="宋体"/>
            </w:rPr>
            <w:fldChar w:fldCharType="separate"/>
          </w:r>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r>
            <w:tab/>
          </w:r>
          <w:r>
            <w:fldChar w:fldCharType="begin"/>
          </w:r>
          <w:r>
            <w:instrText xml:space="preserve"> PAGEREF _Toc7773 \h </w:instrText>
          </w:r>
          <w:r>
            <w:fldChar w:fldCharType="separate"/>
          </w:r>
          <w:r>
            <w:t>38</w:t>
          </w:r>
          <w:r>
            <w:fldChar w:fldCharType="end"/>
          </w:r>
          <w:r>
            <w:rPr>
              <w:rFonts w:ascii="宋体" w:hAnsi="宋体" w:eastAsia="宋体"/>
            </w:rPr>
            <w:fldChar w:fldCharType="end"/>
          </w:r>
        </w:p>
        <w:p>
          <w:pPr>
            <w:jc w:val="center"/>
            <w:rPr>
              <w:rFonts w:ascii="宋体" w:hAnsi="宋体" w:eastAsia="宋体"/>
            </w:rPr>
          </w:pPr>
          <w:r>
            <w:rPr>
              <w:rFonts w:ascii="宋体" w:hAnsi="宋体" w:eastAsia="宋体"/>
            </w:rPr>
            <w:fldChar w:fldCharType="end"/>
          </w:r>
        </w:p>
      </w:sdtContent>
    </w:sdt>
    <w:p>
      <w:pPr>
        <w:jc w:val="center"/>
        <w:rPr>
          <w:rFonts w:ascii="宋体" w:hAnsi="宋体" w:eastAsia="宋体"/>
        </w:rPr>
      </w:pPr>
    </w:p>
    <w:p>
      <w:pPr>
        <w:jc w:val="center"/>
        <w:rPr>
          <w:rFonts w:ascii="宋体" w:hAnsi="宋体" w:eastAsia="宋体"/>
        </w:rPr>
      </w:pPr>
    </w:p>
    <w:p>
      <w:pPr>
        <w:pStyle w:val="3"/>
        <w:spacing w:before="312" w:after="312"/>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3"/>
        <w:spacing w:before="312" w:after="312"/>
        <w:rPr>
          <w:rFonts w:ascii="Times New Roman" w:hAnsi="Times New Roman" w:eastAsia="宋体" w:cs="Times New Roman"/>
        </w:rPr>
      </w:pPr>
      <w:bookmarkStart w:id="0" w:name="_Toc23966"/>
      <w:r>
        <w:rPr>
          <w:rFonts w:ascii="Times New Roman" w:hAnsi="Times New Roman" w:eastAsia="宋体" w:cs="Times New Roman"/>
        </w:rPr>
        <w:t>采购公告</w:t>
      </w:r>
      <w:bookmarkEnd w:id="0"/>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1" w:name="_Toc525632585"/>
      <w:bookmarkStart w:id="2" w:name="_Toc4489_WPSOffice_Level2"/>
      <w:bookmarkStart w:id="3" w:name="_Toc24354_WPSOffice_Level2"/>
      <w:bookmarkStart w:id="4" w:name="_Toc6496_WPSOffice_Level2"/>
      <w:bookmarkStart w:id="5" w:name="_Toc10395_WPSOffice_Level2"/>
      <w:bookmarkStart w:id="6" w:name="_Toc12765"/>
      <w:bookmarkStart w:id="7" w:name="_Toc13871"/>
      <w:r>
        <w:rPr>
          <w:rFonts w:ascii="Times New Roman" w:hAnsi="Times New Roman" w:eastAsia="黑体" w:cs="Times New Roman"/>
          <w:b w:val="0"/>
          <w:bCs/>
          <w:kern w:val="2"/>
          <w:sz w:val="22"/>
          <w:szCs w:val="15"/>
          <w:lang w:val="en-US" w:eastAsia="zh-CN" w:bidi="ar-SA"/>
        </w:rPr>
        <w:t>项目简介</w:t>
      </w:r>
      <w:bookmarkEnd w:id="1"/>
      <w:bookmarkEnd w:id="2"/>
      <w:bookmarkEnd w:id="3"/>
      <w:bookmarkEnd w:id="4"/>
      <w:bookmarkEnd w:id="5"/>
      <w:bookmarkEnd w:id="6"/>
      <w:bookmarkEnd w:id="7"/>
    </w:p>
    <w:p>
      <w:pPr>
        <w:widowControl/>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1.1项目名称：</w:t>
      </w:r>
      <w:r>
        <w:rPr>
          <w:rFonts w:hint="eastAsia" w:ascii="宋体" w:hAnsi="宋体" w:eastAsia="宋体" w:cs="宋体"/>
          <w:sz w:val="21"/>
          <w:szCs w:val="21"/>
          <w:u w:val="single"/>
          <w:lang w:val="en-US" w:eastAsia="zh-CN"/>
        </w:rPr>
        <w:t>新桥国际机场高速公路监控管理中心园区修缮工程活动家具采购及安装项目</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lang w:val="en-US"/>
        </w:rPr>
      </w:pPr>
      <w:r>
        <w:rPr>
          <w:rFonts w:hint="eastAsia" w:ascii="宋体" w:hAnsi="宋体" w:eastAsia="宋体" w:cs="宋体"/>
          <w:sz w:val="21"/>
          <w:szCs w:val="21"/>
        </w:rPr>
        <w:t>1.2 采 购 人：</w:t>
      </w:r>
      <w:r>
        <w:rPr>
          <w:rFonts w:hint="eastAsia" w:ascii="宋体" w:hAnsi="宋体" w:eastAsia="宋体" w:cs="宋体"/>
          <w:sz w:val="21"/>
          <w:szCs w:val="21"/>
          <w:u w:val="single"/>
        </w:rPr>
        <w:t xml:space="preserve"> 安徽</w:t>
      </w:r>
      <w:r>
        <w:rPr>
          <w:rFonts w:hint="eastAsia" w:ascii="宋体" w:hAnsi="宋体" w:eastAsia="宋体" w:cs="宋体"/>
          <w:sz w:val="21"/>
          <w:szCs w:val="21"/>
          <w:u w:val="single"/>
          <w:lang w:val="en-US" w:eastAsia="zh-CN"/>
        </w:rPr>
        <w:t xml:space="preserve">省经工物资有限公司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1.3 项目概况：</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新桥国际机场高速公路监控管理中心园区修缮工程活动家具</w:t>
      </w:r>
      <w:r>
        <w:rPr>
          <w:rFonts w:hint="eastAsia" w:ascii="宋体" w:hAnsi="宋体" w:eastAsia="宋体" w:cs="宋体"/>
          <w:szCs w:val="21"/>
          <w:u w:val="single"/>
          <w:lang w:val="en-US" w:eastAsia="zh-CN"/>
        </w:rPr>
        <w:t>采购及安装</w:t>
      </w:r>
      <w:r>
        <w:rPr>
          <w:rFonts w:hint="eastAsia" w:ascii="宋体" w:hAnsi="宋体" w:eastAsia="宋体" w:cs="宋体"/>
          <w:kern w:val="0"/>
          <w:sz w:val="21"/>
          <w:szCs w:val="21"/>
          <w:highlight w:val="none"/>
          <w:u w:val="none"/>
          <w:lang w:eastAsia="zh-CN"/>
        </w:rPr>
        <w:t>。</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8" w:name="_Toc10274"/>
      <w:bookmarkStart w:id="9" w:name="_Toc8128_WPSOffice_Level2"/>
      <w:bookmarkStart w:id="10" w:name="_Toc18453"/>
      <w:bookmarkStart w:id="11" w:name="_Toc17858_WPSOffice_Level2"/>
      <w:bookmarkStart w:id="12" w:name="_Toc18367_WPSOffice_Level2"/>
      <w:bookmarkStart w:id="13" w:name="_Toc23266_WPSOffice_Level2"/>
      <w:bookmarkStart w:id="14" w:name="_Toc525632586"/>
      <w:r>
        <w:rPr>
          <w:rFonts w:ascii="Times New Roman" w:hAnsi="Times New Roman" w:eastAsia="黑体" w:cs="Times New Roman"/>
          <w:b w:val="0"/>
          <w:bCs/>
          <w:kern w:val="2"/>
          <w:sz w:val="22"/>
          <w:szCs w:val="15"/>
          <w:lang w:val="en-US" w:eastAsia="zh-CN" w:bidi="ar-SA"/>
        </w:rPr>
        <w:t>采购说明</w:t>
      </w:r>
      <w:bookmarkEnd w:id="8"/>
      <w:bookmarkEnd w:id="9"/>
      <w:bookmarkEnd w:id="10"/>
      <w:bookmarkEnd w:id="11"/>
      <w:bookmarkEnd w:id="12"/>
      <w:bookmarkEnd w:id="13"/>
      <w:bookmarkEnd w:id="14"/>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u w:val="single"/>
          <w:lang w:val="en-US" w:eastAsia="zh-CN"/>
        </w:rPr>
      </w:pPr>
      <w:bookmarkStart w:id="15" w:name="_Toc4489_WPSOffice_Level3"/>
      <w:r>
        <w:rPr>
          <w:rFonts w:hint="eastAsia" w:ascii="宋体" w:hAnsi="宋体" w:eastAsia="宋体" w:cs="宋体"/>
          <w:szCs w:val="21"/>
        </w:rPr>
        <w:t>2.1 采购方式：</w:t>
      </w:r>
      <w:bookmarkEnd w:id="15"/>
      <w:r>
        <w:rPr>
          <w:rFonts w:hint="eastAsia" w:ascii="宋体" w:hAnsi="宋体" w:eastAsia="宋体" w:cs="宋体"/>
          <w:szCs w:val="21"/>
          <w:u w:val="single"/>
          <w:lang w:val="en-US" w:eastAsia="zh-CN"/>
        </w:rPr>
        <w:t xml:space="preserve">  询比采购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rPr>
      </w:pPr>
      <w:bookmarkStart w:id="16" w:name="_Toc23266_WPSOffice_Level3"/>
      <w:r>
        <w:rPr>
          <w:rFonts w:hint="eastAsia" w:ascii="宋体" w:hAnsi="宋体" w:eastAsia="宋体" w:cs="宋体"/>
          <w:szCs w:val="21"/>
        </w:rPr>
        <w:t>2.2 资金来源及比例：</w:t>
      </w:r>
      <w:bookmarkEnd w:id="16"/>
      <w:bookmarkStart w:id="17" w:name="_Toc22379_WPSOffice_Level3"/>
      <w:r>
        <w:rPr>
          <w:rFonts w:hint="eastAsia" w:ascii="宋体" w:hAnsi="宋体" w:eastAsia="宋体" w:cs="宋体"/>
          <w:szCs w:val="21"/>
          <w:u w:val="single"/>
        </w:rPr>
        <w:t>100%来自企业自筹</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2.3 采购范围：</w:t>
      </w:r>
      <w:r>
        <w:rPr>
          <w:rFonts w:hint="eastAsia" w:ascii="宋体" w:hAnsi="宋体" w:eastAsia="宋体" w:cs="宋体"/>
          <w:szCs w:val="21"/>
          <w:u w:val="single"/>
          <w:lang w:val="en-US" w:eastAsia="zh-CN"/>
        </w:rPr>
        <w:t xml:space="preserve">  </w:t>
      </w:r>
      <w:r>
        <w:rPr>
          <w:rFonts w:hint="eastAsia" w:ascii="宋体" w:hAnsi="宋体" w:eastAsia="宋体" w:cs="宋体"/>
          <w:szCs w:val="21"/>
          <w:highlight w:val="none"/>
          <w:u w:val="single"/>
          <w:lang w:val="en-US" w:eastAsia="zh-CN"/>
        </w:rPr>
        <w:t>办公座椅、沙发、茶几等。</w:t>
      </w:r>
      <w:r>
        <w:rPr>
          <w:rFonts w:hint="eastAsia" w:ascii="宋体" w:hAnsi="宋体" w:eastAsia="宋体" w:cs="宋体"/>
          <w:szCs w:val="21"/>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2.4 品牌范围：</w:t>
      </w:r>
      <w:r>
        <w:rPr>
          <w:rFonts w:hint="eastAsia" w:ascii="宋体" w:hAnsi="宋体" w:eastAsia="宋体" w:cs="宋体"/>
          <w:szCs w:val="21"/>
          <w:u w:val="single"/>
          <w:lang w:val="en-US" w:eastAsia="zh-CN"/>
        </w:rPr>
        <w:t xml:space="preserve">    无。产品参数详见工程量清单。                              </w:t>
      </w:r>
      <w:r>
        <w:rPr>
          <w:rFonts w:hint="eastAsia" w:ascii="宋体" w:hAnsi="宋体" w:eastAsia="宋体" w:cs="宋体"/>
          <w:szCs w:val="21"/>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default" w:ascii="宋体" w:hAnsi="宋体" w:eastAsia="宋体" w:cs="宋体"/>
          <w:szCs w:val="21"/>
          <w:highlight w:val="yellow"/>
          <w:lang w:val="en-US" w:eastAsia="zh-CN"/>
        </w:rPr>
      </w:pPr>
      <w:r>
        <w:rPr>
          <w:rFonts w:hint="eastAsia" w:ascii="宋体" w:hAnsi="宋体" w:eastAsia="宋体" w:cs="宋体"/>
          <w:szCs w:val="21"/>
          <w:lang w:val="en-US" w:eastAsia="zh-CN"/>
        </w:rPr>
        <w:t>2.5 合同包划分：</w:t>
      </w:r>
      <w:r>
        <w:rPr>
          <w:rFonts w:hint="eastAsia" w:ascii="宋体" w:hAnsi="宋体" w:eastAsia="宋体" w:cs="宋体"/>
          <w:szCs w:val="21"/>
          <w:highlight w:val="none"/>
          <w:u w:val="single"/>
          <w:lang w:val="en-US" w:eastAsia="zh-CN"/>
        </w:rPr>
        <w:t xml:space="preserve">  1个包。 </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 xml:space="preserve"> 最高限价：</w:t>
      </w:r>
      <w:bookmarkEnd w:id="17"/>
      <w:r>
        <w:rPr>
          <w:rFonts w:hint="eastAsia" w:ascii="宋体" w:hAnsi="宋体" w:eastAsia="宋体" w:cs="宋体"/>
          <w:szCs w:val="21"/>
          <w:highlight w:val="none"/>
          <w:u w:val="single"/>
        </w:rPr>
        <w:t xml:space="preserve"> </w:t>
      </w:r>
      <w:r>
        <w:rPr>
          <w:rFonts w:hint="eastAsia" w:ascii="宋体" w:hAnsi="宋体" w:eastAsia="宋体" w:cs="宋体"/>
          <w:color w:val="auto"/>
          <w:szCs w:val="21"/>
          <w:highlight w:val="none"/>
          <w:u w:val="single"/>
          <w:lang w:val="en-US" w:eastAsia="zh-CN"/>
        </w:rPr>
        <w:t xml:space="preserve">100万元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7</w:t>
      </w:r>
      <w:r>
        <w:rPr>
          <w:rFonts w:hint="eastAsia" w:ascii="宋体" w:hAnsi="宋体" w:eastAsia="宋体" w:cs="宋体"/>
          <w:szCs w:val="21"/>
        </w:rPr>
        <w:t xml:space="preserve"> </w:t>
      </w:r>
      <w:r>
        <w:rPr>
          <w:rFonts w:hint="eastAsia" w:ascii="宋体" w:hAnsi="宋体" w:eastAsia="宋体" w:cs="宋体"/>
          <w:szCs w:val="21"/>
          <w:lang w:val="en-US" w:eastAsia="zh-CN"/>
        </w:rPr>
        <w:t>交货期</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 w:val="21"/>
          <w:szCs w:val="21"/>
          <w:u w:val="single"/>
          <w:lang w:val="en-US" w:eastAsia="zh-CN"/>
        </w:rPr>
        <w:t>在</w:t>
      </w:r>
      <w:r>
        <w:rPr>
          <w:rFonts w:hint="eastAsia" w:ascii="宋体" w:hAnsi="宋体" w:eastAsia="宋体" w:cs="宋体"/>
          <w:kern w:val="0"/>
          <w:sz w:val="21"/>
          <w:szCs w:val="21"/>
          <w:highlight w:val="none"/>
          <w:u w:val="single"/>
        </w:rPr>
        <w:t>接到甲方通知之日起</w:t>
      </w:r>
      <w:r>
        <w:rPr>
          <w:rFonts w:hint="eastAsia" w:ascii="宋体" w:hAnsi="宋体" w:eastAsia="宋体" w:cs="宋体"/>
          <w:kern w:val="0"/>
          <w:sz w:val="21"/>
          <w:szCs w:val="21"/>
          <w:highlight w:val="none"/>
          <w:u w:val="single"/>
          <w:lang w:val="en-US" w:eastAsia="zh-CN"/>
        </w:rPr>
        <w:t>20</w:t>
      </w:r>
      <w:r>
        <w:rPr>
          <w:rFonts w:hint="eastAsia" w:ascii="宋体" w:hAnsi="宋体" w:eastAsia="宋体" w:cs="宋体"/>
          <w:kern w:val="0"/>
          <w:sz w:val="21"/>
          <w:szCs w:val="21"/>
          <w:highlight w:val="none"/>
          <w:u w:val="single"/>
        </w:rPr>
        <w:t>个日历天内交货并安装</w:t>
      </w:r>
      <w:r>
        <w:rPr>
          <w:rFonts w:hint="eastAsia" w:ascii="宋体" w:hAnsi="宋体" w:eastAsia="宋体" w:cs="宋体"/>
          <w:kern w:val="0"/>
          <w:sz w:val="21"/>
          <w:szCs w:val="21"/>
          <w:highlight w:val="none"/>
          <w:u w:val="single"/>
          <w:lang w:val="en-US" w:eastAsia="zh-CN"/>
        </w:rPr>
        <w:t>完成</w:t>
      </w:r>
      <w:r>
        <w:rPr>
          <w:rFonts w:hint="eastAsia" w:ascii="宋体" w:hAnsi="宋体" w:eastAsia="宋体" w:cs="宋体"/>
          <w:kern w:val="0"/>
          <w:sz w:val="21"/>
          <w:szCs w:val="21"/>
          <w:highlight w:val="none"/>
          <w:u w:val="single"/>
          <w:lang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1"/>
          <w:u w:val="single"/>
        </w:rPr>
      </w:pPr>
      <w:r>
        <w:rPr>
          <w:rFonts w:hint="eastAsia" w:ascii="宋体" w:hAnsi="宋体" w:eastAsia="宋体" w:cs="宋体"/>
          <w:szCs w:val="21"/>
          <w:lang w:val="en-US" w:eastAsia="zh-CN"/>
        </w:rPr>
        <w:t>2.8 推荐品牌（</w:t>
      </w:r>
      <w:r>
        <w:rPr>
          <w:rFonts w:hint="eastAsia" w:ascii="宋体" w:hAnsi="宋体" w:eastAsia="宋体" w:cs="宋体"/>
          <w:b w:val="0"/>
          <w:bCs w:val="0"/>
          <w:szCs w:val="22"/>
          <w:highlight w:val="none"/>
          <w:lang w:val="en-US" w:eastAsia="zh-CN"/>
        </w:rPr>
        <w:t>生产厂家</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京泰、森源、月星、华盛、震旦、冠美。                                        </w:t>
      </w:r>
      <w:r>
        <w:rPr>
          <w:rFonts w:hint="eastAsia" w:ascii="宋体" w:hAnsi="宋体" w:eastAsia="宋体" w:cs="宋体"/>
          <w:szCs w:val="21"/>
          <w:u w:val="single"/>
        </w:rPr>
        <w:t xml:space="preserve"> </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18" w:name="_Toc29516_WPSOffice_Level2"/>
      <w:bookmarkStart w:id="19" w:name="_Toc22379_WPSOffice_Level2"/>
      <w:bookmarkStart w:id="20" w:name="_Toc3714"/>
      <w:bookmarkStart w:id="21" w:name="_Toc1622_WPSOffice_Level2"/>
      <w:bookmarkStart w:id="22" w:name="_Toc525632587"/>
      <w:bookmarkStart w:id="23" w:name="_Toc31673_WPSOffice_Level2"/>
      <w:bookmarkStart w:id="24" w:name="_Toc6388"/>
      <w:r>
        <w:rPr>
          <w:rFonts w:ascii="Times New Roman" w:hAnsi="Times New Roman" w:eastAsia="黑体" w:cs="Times New Roman"/>
          <w:b w:val="0"/>
          <w:bCs/>
          <w:kern w:val="2"/>
          <w:sz w:val="22"/>
          <w:szCs w:val="15"/>
          <w:lang w:val="en-US" w:eastAsia="zh-CN" w:bidi="ar-SA"/>
        </w:rPr>
        <w:t>供应商资格条件</w:t>
      </w:r>
      <w:bookmarkEnd w:id="18"/>
      <w:bookmarkEnd w:id="19"/>
      <w:bookmarkEnd w:id="20"/>
      <w:bookmarkEnd w:id="21"/>
      <w:bookmarkEnd w:id="22"/>
      <w:bookmarkEnd w:id="23"/>
      <w:bookmarkEnd w:id="24"/>
      <w:r>
        <w:rPr>
          <w:rFonts w:hint="eastAsia" w:ascii="Times New Roman" w:hAnsi="Times New Roman" w:eastAsia="黑体" w:cs="Times New Roman"/>
          <w:b w:val="0"/>
          <w:bCs/>
          <w:kern w:val="2"/>
          <w:sz w:val="22"/>
          <w:szCs w:val="15"/>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2"/>
        </w:rPr>
      </w:pPr>
      <w:r>
        <w:rPr>
          <w:rFonts w:hint="eastAsia" w:ascii="宋体" w:hAnsi="宋体" w:eastAsia="宋体" w:cs="宋体"/>
          <w:szCs w:val="22"/>
        </w:rPr>
        <w:t>3.1 本次采购要求供应商须同时具备：</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Cs w:val="22"/>
        </w:rPr>
      </w:pPr>
      <w:r>
        <w:rPr>
          <w:rFonts w:hint="eastAsia" w:ascii="Times New Roman" w:hAnsi="Times New Roman" w:eastAsia="宋体" w:cs="Times New Roman"/>
          <w:szCs w:val="22"/>
          <w:lang w:val="en-US" w:eastAsia="zh-CN"/>
        </w:rPr>
        <w:t>（1）</w:t>
      </w:r>
      <w:r>
        <w:rPr>
          <w:rFonts w:hint="eastAsia" w:ascii="宋体" w:hAnsi="宋体" w:eastAsia="宋体" w:cs="宋体"/>
          <w:szCs w:val="22"/>
        </w:rPr>
        <w:t>资质最低要求：</w:t>
      </w:r>
    </w:p>
    <w:p>
      <w:pPr>
        <w:keepNext w:val="0"/>
        <w:keepLines w:val="0"/>
        <w:pageBreakBefore w:val="0"/>
        <w:widowControl w:val="0"/>
        <w:kinsoku/>
        <w:wordWrap/>
        <w:overflowPunct/>
        <w:topLinePunct w:val="0"/>
        <w:autoSpaceDE/>
        <w:autoSpaceDN/>
        <w:bidi w:val="0"/>
        <w:adjustRightInd/>
        <w:snapToGrid w:val="0"/>
        <w:spacing w:line="400" w:lineRule="exact"/>
        <w:ind w:firstLine="630" w:firstLineChars="300"/>
        <w:textAlignment w:val="auto"/>
        <w:rPr>
          <w:rFonts w:hint="eastAsia" w:ascii="宋体" w:hAnsi="宋体" w:eastAsia="宋体" w:cs="宋体"/>
          <w:szCs w:val="22"/>
          <w:lang w:eastAsia="zh-CN"/>
        </w:rPr>
      </w:pPr>
      <w:r>
        <w:rPr>
          <w:rFonts w:hint="eastAsia" w:ascii="宋体" w:hAnsi="宋体" w:eastAsia="宋体" w:cs="宋体"/>
          <w:b/>
          <w:bCs/>
          <w:szCs w:val="22"/>
          <w:highlight w:val="none"/>
        </w:rPr>
        <w:t>具有独立完成本项目相关能力的生产厂家</w:t>
      </w:r>
      <w:r>
        <w:rPr>
          <w:rFonts w:hint="eastAsia" w:ascii="宋体" w:hAnsi="宋体" w:eastAsia="宋体" w:cs="宋体"/>
          <w:b/>
          <w:bCs/>
          <w:szCs w:val="22"/>
          <w:highlight w:val="none"/>
          <w:lang w:eastAsia="zh-CN"/>
        </w:rPr>
        <w:t>，</w:t>
      </w:r>
      <w:r>
        <w:rPr>
          <w:rFonts w:hint="eastAsia" w:ascii="宋体" w:hAnsi="宋体" w:eastAsia="宋体" w:cs="宋体"/>
          <w:szCs w:val="22"/>
        </w:rPr>
        <w:t>具备独立法人资格，持有有效的营业执照</w:t>
      </w:r>
      <w:r>
        <w:rPr>
          <w:rFonts w:hint="eastAsia" w:ascii="宋体" w:hAnsi="宋体" w:eastAsia="宋体" w:cs="宋体"/>
          <w:szCs w:val="22"/>
          <w:lang w:eastAsia="zh-CN"/>
        </w:rPr>
        <w:t>。</w:t>
      </w:r>
    </w:p>
    <w:p>
      <w:pPr>
        <w:pageBreakBefore w:val="0"/>
        <w:numPr>
          <w:ilvl w:val="0"/>
          <w:numId w:val="0"/>
        </w:numP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szCs w:val="22"/>
        </w:rPr>
      </w:pP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业绩最低要求：</w:t>
      </w:r>
    </w:p>
    <w:p>
      <w:pPr>
        <w:pStyle w:val="2"/>
        <w:keepNext w:val="0"/>
        <w:keepLines w:val="0"/>
        <w:pageBreakBefore w:val="0"/>
        <w:widowControl w:val="0"/>
        <w:kinsoku/>
        <w:wordWrap/>
        <w:overflowPunct/>
        <w:topLinePunct w:val="0"/>
        <w:autoSpaceDE/>
        <w:autoSpaceDN/>
        <w:bidi w:val="0"/>
        <w:adjustRightInd/>
        <w:snapToGrid w:val="0"/>
        <w:spacing w:after="0" w:line="440" w:lineRule="exact"/>
        <w:ind w:firstLine="420" w:firstLineChars="200"/>
        <w:jc w:val="both"/>
        <w:textAlignment w:val="auto"/>
        <w:rPr>
          <w:rFonts w:hint="eastAsia" w:ascii="宋体" w:hAnsi="宋体" w:eastAsia="宋体" w:cs="宋体"/>
          <w:b/>
          <w:bCs/>
          <w:highlight w:val="none"/>
          <w:u w:val="single"/>
          <w:lang w:val="en-US" w:eastAsia="zh-CN"/>
        </w:rPr>
      </w:pPr>
      <w:r>
        <w:rPr>
          <w:rFonts w:hint="eastAsia" w:ascii="宋体" w:hAnsi="宋体" w:eastAsia="宋体" w:cs="宋体"/>
          <w:b/>
          <w:bCs/>
          <w:highlight w:val="none"/>
          <w:u w:val="single"/>
          <w:lang w:val="en-US" w:eastAsia="zh-CN"/>
        </w:rPr>
        <w:t xml:space="preserve"> 至少提供1个自2020年10月1日以来，单项合同额不低于100万元的家具供应</w:t>
      </w:r>
      <w:r>
        <w:rPr>
          <w:rFonts w:hint="eastAsia" w:ascii="Times New Roman" w:hAnsi="Times New Roman" w:cs="Times New Roman"/>
          <w:b/>
          <w:bCs/>
          <w:color w:val="auto"/>
          <w:szCs w:val="21"/>
          <w:highlight w:val="none"/>
          <w:u w:val="single"/>
          <w:lang w:val="en-US" w:eastAsia="zh-CN"/>
        </w:rPr>
        <w:t>合同业绩。</w:t>
      </w:r>
    </w:p>
    <w:p>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firstLine="420" w:firstLineChars="200"/>
        <w:jc w:val="both"/>
        <w:textAlignment w:val="auto"/>
        <w:rPr>
          <w:rFonts w:hint="eastAsia"/>
          <w:lang w:val="en-US" w:eastAsia="zh-CN"/>
        </w:rPr>
      </w:pPr>
      <w:r>
        <w:rPr>
          <w:rFonts w:hint="eastAsia" w:asciiTheme="minorHAnsi" w:eastAsiaTheme="minorEastAsia"/>
          <w:lang w:val="en-US" w:eastAsia="zh-CN"/>
        </w:rPr>
        <w:t>业绩证明材料要求：</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①合同协议书</w:t>
      </w:r>
      <w:r>
        <w:rPr>
          <w:rFonts w:hint="eastAsia" w:cstheme="minorBidi"/>
          <w:kern w:val="2"/>
          <w:sz w:val="21"/>
          <w:szCs w:val="24"/>
          <w:lang w:val="en-US" w:eastAsia="zh-CN" w:bidi="ar-SA"/>
        </w:rPr>
        <w:t>复印</w:t>
      </w:r>
      <w:r>
        <w:rPr>
          <w:rFonts w:hint="eastAsia" w:asciiTheme="minorHAnsi" w:hAnsiTheme="minorHAnsi" w:eastAsiaTheme="minorEastAsia" w:cstheme="minorBidi"/>
          <w:kern w:val="2"/>
          <w:sz w:val="21"/>
          <w:szCs w:val="24"/>
          <w:lang w:val="en-US" w:eastAsia="zh-CN" w:bidi="ar-SA"/>
        </w:rPr>
        <w:t xml:space="preserve">件；                                                                                                                                                                                                                                                                                                                                                                                                                                                                                                                                                                                                                                                                                                                                                                                                                                                                                                                                                                                                                                                                                                                                                                                                                                                                                                                                                                                                                                                                                                                                                                                                                                                                                                                                                                                                                                                                                                                                                                                                                                                                                                                                                                          </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②若合同协议书中不能明确反映出</w:t>
      </w:r>
      <w:r>
        <w:rPr>
          <w:rFonts w:hint="eastAsia" w:cstheme="minorBidi"/>
          <w:kern w:val="2"/>
          <w:sz w:val="21"/>
          <w:szCs w:val="24"/>
          <w:lang w:val="en-US" w:eastAsia="zh-CN" w:bidi="ar-SA"/>
        </w:rPr>
        <w:t>采购文件</w:t>
      </w:r>
      <w:r>
        <w:rPr>
          <w:rFonts w:hint="eastAsia" w:asciiTheme="minorHAnsi" w:hAnsiTheme="minorHAnsi" w:eastAsiaTheme="minorEastAsia" w:cstheme="minorBidi"/>
          <w:kern w:val="2"/>
          <w:sz w:val="21"/>
          <w:szCs w:val="24"/>
          <w:lang w:val="en-US" w:eastAsia="zh-CN" w:bidi="ar-SA"/>
        </w:rPr>
        <w:t>所要求内容的（如合同金额、合同签订时间、供货内容等），则须提供业主单位（甲方）出具加盖公章的证明材料</w:t>
      </w:r>
      <w:r>
        <w:rPr>
          <w:rFonts w:hint="eastAsia" w:cstheme="minorBidi"/>
          <w:kern w:val="2"/>
          <w:sz w:val="21"/>
          <w:szCs w:val="24"/>
          <w:lang w:val="en-US" w:eastAsia="zh-CN" w:bidi="ar-SA"/>
        </w:rPr>
        <w:t>复印</w:t>
      </w:r>
      <w:r>
        <w:rPr>
          <w:rFonts w:hint="eastAsia" w:asciiTheme="minorHAnsi" w:hAnsiTheme="minorHAnsi" w:eastAsiaTheme="minorEastAsia" w:cstheme="minorBidi"/>
          <w:kern w:val="2"/>
          <w:sz w:val="21"/>
          <w:szCs w:val="24"/>
          <w:lang w:val="en-US" w:eastAsia="zh-CN" w:bidi="ar-SA"/>
        </w:rPr>
        <w:t>件。</w:t>
      </w:r>
    </w:p>
    <w:p>
      <w:pPr>
        <w:pStyle w:val="18"/>
        <w:keepNext w:val="0"/>
        <w:keepLines w:val="0"/>
        <w:pageBreakBefore w:val="0"/>
        <w:widowControl w:val="0"/>
        <w:kinsoku/>
        <w:wordWrap/>
        <w:overflowPunct/>
        <w:topLinePunct w:val="0"/>
        <w:autoSpaceDE/>
        <w:autoSpaceDN/>
        <w:bidi w:val="0"/>
        <w:adjustRightInd/>
        <w:spacing w:line="440" w:lineRule="exact"/>
        <w:ind w:left="0" w:leftChars="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③若同一业绩合同中包含多项</w:t>
      </w:r>
      <w:r>
        <w:rPr>
          <w:rFonts w:hint="eastAsia" w:asciiTheme="minorHAnsi" w:hAnsiTheme="minorHAnsi" w:cstheme="minorBidi"/>
          <w:kern w:val="2"/>
          <w:sz w:val="21"/>
          <w:szCs w:val="24"/>
          <w:lang w:val="en-US" w:eastAsia="zh-CN" w:bidi="ar-SA"/>
        </w:rPr>
        <w:t>材料（</w:t>
      </w:r>
      <w:r>
        <w:rPr>
          <w:rFonts w:hint="eastAsia" w:asciiTheme="minorHAnsi" w:hAnsiTheme="minorHAnsi" w:eastAsiaTheme="minorEastAsia" w:cstheme="minorBidi"/>
          <w:kern w:val="2"/>
          <w:sz w:val="21"/>
          <w:szCs w:val="24"/>
          <w:lang w:val="en-US" w:eastAsia="zh-CN" w:bidi="ar-SA"/>
        </w:rPr>
        <w:t>设备</w:t>
      </w: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，则合同中应能体现资格要求中所需</w:t>
      </w:r>
      <w:r>
        <w:rPr>
          <w:rFonts w:hint="eastAsia" w:asciiTheme="minorHAnsi" w:hAnsiTheme="minorHAnsi" w:cstheme="minorBidi"/>
          <w:kern w:val="2"/>
          <w:sz w:val="21"/>
          <w:szCs w:val="24"/>
          <w:lang w:val="en-US" w:eastAsia="zh-CN" w:bidi="ar-SA"/>
        </w:rPr>
        <w:t>材料（</w:t>
      </w:r>
      <w:r>
        <w:rPr>
          <w:rFonts w:hint="eastAsia" w:asciiTheme="minorHAnsi" w:hAnsiTheme="minorHAnsi" w:eastAsiaTheme="minorEastAsia" w:cstheme="minorBidi"/>
          <w:kern w:val="2"/>
          <w:sz w:val="21"/>
          <w:szCs w:val="24"/>
          <w:lang w:val="en-US" w:eastAsia="zh-CN" w:bidi="ar-SA"/>
        </w:rPr>
        <w:t>设备</w:t>
      </w:r>
      <w:r>
        <w:rPr>
          <w:rFonts w:hint="eastAsia" w:asciiTheme="minorHAnsi" w:hAnsiTheme="minorHAnsi"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的内容和金额，无法体现的，须提供供货单据、供货发票、业主验收单等能证明相关评审因素的证明材料，否则业绩不</w:t>
      </w:r>
      <w:r>
        <w:rPr>
          <w:rFonts w:hint="eastAsia" w:asciiTheme="minorHAnsi" w:hAnsiTheme="minorHAnsi" w:cstheme="minorBidi"/>
          <w:kern w:val="2"/>
          <w:sz w:val="21"/>
          <w:szCs w:val="24"/>
          <w:lang w:val="en-US" w:eastAsia="zh-CN" w:bidi="ar-SA"/>
        </w:rPr>
        <w:t>予</w:t>
      </w:r>
      <w:r>
        <w:rPr>
          <w:rFonts w:hint="eastAsia" w:asciiTheme="minorHAnsi" w:hAnsiTheme="minorHAnsi" w:eastAsiaTheme="minorEastAsia" w:cstheme="minorBidi"/>
          <w:kern w:val="2"/>
          <w:sz w:val="21"/>
          <w:szCs w:val="24"/>
          <w:lang w:val="en-US" w:eastAsia="zh-CN" w:bidi="ar-SA"/>
        </w:rPr>
        <w:t>认可</w:t>
      </w:r>
      <w:r>
        <w:rPr>
          <w:rFonts w:hint="eastAsia" w:asciiTheme="minorHAnsi" w:hAnsiTheme="minorHAnsi" w:cstheme="minorBidi"/>
          <w:kern w:val="2"/>
          <w:sz w:val="21"/>
          <w:szCs w:val="24"/>
          <w:lang w:val="en-US" w:eastAsia="zh-CN" w:bidi="ar-SA"/>
        </w:rPr>
        <w:t>。</w:t>
      </w:r>
    </w:p>
    <w:p>
      <w:pPr>
        <w:pageBreakBefore w:val="0"/>
        <w:numPr>
          <w:ilvl w:val="255"/>
          <w:numId w:val="0"/>
        </w:numPr>
        <w:kinsoku/>
        <w:wordWrap/>
        <w:overflowPunct/>
        <w:topLinePunct w:val="0"/>
        <w:autoSpaceDE/>
        <w:autoSpaceDN/>
        <w:bidi w:val="0"/>
        <w:adjustRightInd/>
        <w:snapToGrid w:val="0"/>
        <w:spacing w:line="400" w:lineRule="exact"/>
        <w:ind w:firstLine="420" w:firstLineChars="200"/>
        <w:textAlignment w:val="auto"/>
        <w:rPr>
          <w:rFonts w:hint="eastAsia" w:ascii="Times New Roman" w:hAnsi="Times New Roman" w:eastAsia="宋体" w:cs="Times New Roman"/>
          <w:szCs w:val="22"/>
          <w:lang w:eastAsia="zh-CN"/>
        </w:rPr>
      </w:pPr>
      <w:r>
        <w:rPr>
          <w:rFonts w:hint="eastAsia" w:ascii="宋体" w:hAnsi="宋体" w:eastAsia="宋体" w:cs="宋体"/>
          <w:szCs w:val="22"/>
        </w:rPr>
        <w:t>（</w:t>
      </w:r>
      <w:r>
        <w:rPr>
          <w:rFonts w:hint="eastAsia" w:ascii="宋体" w:hAnsi="宋体" w:eastAsia="宋体" w:cs="宋体"/>
          <w:szCs w:val="22"/>
          <w:lang w:val="en-US" w:eastAsia="zh-CN"/>
        </w:rPr>
        <w:t>3</w:t>
      </w:r>
      <w:r>
        <w:rPr>
          <w:rFonts w:hint="eastAsia" w:ascii="宋体" w:hAnsi="宋体" w:eastAsia="宋体" w:cs="宋体"/>
          <w:szCs w:val="22"/>
        </w:rPr>
        <w:t>）</w:t>
      </w:r>
      <w:r>
        <w:rPr>
          <w:rFonts w:ascii="Times New Roman" w:hAnsi="Times New Roman" w:eastAsia="宋体" w:cs="Times New Roman"/>
          <w:szCs w:val="22"/>
        </w:rPr>
        <w:t>信誉要求最低要求：</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ascii="Times New Roman" w:hAnsi="Times New Roman" w:eastAsia="宋体" w:cs="Times New Roman"/>
          <w:szCs w:val="22"/>
        </w:rPr>
        <w:t>①</w:t>
      </w:r>
      <w:r>
        <w:rPr>
          <w:rFonts w:hint="eastAsia" w:ascii="Times New Roman" w:hAnsi="Times New Roman" w:eastAsia="宋体" w:cs="Times New Roman"/>
          <w:szCs w:val="22"/>
        </w:rPr>
        <w:t>未被责令停业，暂扣或吊销执照，或吊销资质证书；</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Calibri" w:hAnsi="Calibri" w:eastAsia="宋体" w:cs="Times New Roman"/>
        </w:rPr>
      </w:pPr>
      <w:r>
        <w:rPr>
          <w:rFonts w:hint="eastAsia" w:ascii="Times New Roman" w:hAnsi="Times New Roman" w:eastAsia="宋体" w:cs="Times New Roman"/>
          <w:szCs w:val="22"/>
        </w:rPr>
        <w:t>②未进入清算程序，或被宣告破产，或其他丧失履约能力的情形；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③</w:t>
      </w:r>
      <w:r>
        <w:rPr>
          <w:rFonts w:ascii="Times New Roman" w:hAnsi="Times New Roman" w:eastAsia="宋体" w:cs="Times New Roman"/>
          <w:szCs w:val="22"/>
        </w:rPr>
        <w:t>在国家企业信用信息公示系统（http://www.gsxt.gov.cn）中</w:t>
      </w:r>
      <w:r>
        <w:rPr>
          <w:rFonts w:hint="eastAsia" w:ascii="Times New Roman" w:hAnsi="Times New Roman" w:eastAsia="宋体" w:cs="Times New Roman"/>
          <w:szCs w:val="22"/>
        </w:rPr>
        <w:t>未</w:t>
      </w:r>
      <w:r>
        <w:rPr>
          <w:rFonts w:ascii="Times New Roman" w:hAnsi="Times New Roman" w:eastAsia="宋体" w:cs="Times New Roman"/>
          <w:szCs w:val="22"/>
        </w:rPr>
        <w:t>被列入严重违法失信企业名单；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④</w:t>
      </w:r>
      <w:r>
        <w:rPr>
          <w:rFonts w:ascii="Times New Roman" w:hAnsi="Times New Roman" w:eastAsia="宋体" w:cs="Times New Roman"/>
          <w:szCs w:val="22"/>
        </w:rPr>
        <w:t>在“信用中国”网站（http://www.creditchina.gov.cn）中</w:t>
      </w:r>
      <w:r>
        <w:rPr>
          <w:rFonts w:hint="eastAsia" w:ascii="Times New Roman" w:hAnsi="Times New Roman" w:eastAsia="宋体" w:cs="Times New Roman"/>
          <w:szCs w:val="22"/>
        </w:rPr>
        <w:t>未</w:t>
      </w:r>
      <w:r>
        <w:rPr>
          <w:rFonts w:ascii="Times New Roman" w:hAnsi="Times New Roman" w:eastAsia="宋体" w:cs="Times New Roman"/>
          <w:szCs w:val="22"/>
        </w:rPr>
        <w:t>被列入失信被执行人名单；</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Cs w:val="22"/>
        </w:rPr>
      </w:pPr>
      <w:r>
        <w:rPr>
          <w:rFonts w:hint="eastAsia" w:ascii="Times New Roman" w:hAnsi="Times New Roman" w:eastAsia="宋体" w:cs="Times New Roman"/>
          <w:szCs w:val="22"/>
        </w:rPr>
        <w:t>⑤</w:t>
      </w:r>
      <w:r>
        <w:rPr>
          <w:rFonts w:ascii="Times New Roman" w:hAnsi="Times New Roman" w:eastAsia="宋体" w:cs="Times New Roman"/>
          <w:szCs w:val="22"/>
        </w:rPr>
        <w:t>在近三年内（自</w:t>
      </w:r>
      <w:r>
        <w:rPr>
          <w:rFonts w:hint="eastAsia" w:ascii="Times New Roman" w:hAnsi="Times New Roman" w:eastAsia="宋体" w:cs="Times New Roman"/>
          <w:szCs w:val="22"/>
        </w:rPr>
        <w:t>响应文件递交截止之日</w:t>
      </w:r>
      <w:r>
        <w:rPr>
          <w:rFonts w:ascii="Times New Roman" w:hAnsi="Times New Roman" w:eastAsia="宋体" w:cs="Times New Roman"/>
          <w:szCs w:val="22"/>
        </w:rPr>
        <w:t>向前追溯3年）供应商或其法定代表人、拟委任的项目经理</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如有</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rPr>
        <w:t>未</w:t>
      </w:r>
      <w:r>
        <w:rPr>
          <w:rFonts w:ascii="Times New Roman" w:hAnsi="Times New Roman" w:eastAsia="宋体" w:cs="Times New Roman"/>
          <w:szCs w:val="22"/>
        </w:rPr>
        <w:t>有行贿犯罪行为。</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rPr>
      </w:pPr>
      <w:r>
        <w:rPr>
          <w:rFonts w:hint="eastAsia" w:ascii="Times New Roman" w:hAnsi="Times New Roman" w:eastAsia="宋体" w:cs="Times New Roman"/>
        </w:rPr>
        <w:t>⑥其他要求：</w:t>
      </w:r>
      <w:r>
        <w:rPr>
          <w:rFonts w:hint="eastAsia" w:ascii="Times New Roman" w:hAnsi="Times New Roman" w:eastAsia="宋体" w:cs="Times New Roman"/>
          <w:u w:val="single"/>
          <w:lang w:val="en-US" w:eastAsia="zh-CN"/>
        </w:rPr>
        <w:t xml:space="preserve">        /        </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 w:val="18"/>
          <w:szCs w:val="21"/>
        </w:rPr>
      </w:pPr>
      <w:r>
        <w:rPr>
          <w:rFonts w:ascii="Times New Roman" w:hAnsi="Times New Roman" w:eastAsia="宋体" w:cs="Times New Roman"/>
          <w:szCs w:val="22"/>
        </w:rPr>
        <w:t>3.2 联合体：本次采购</w:t>
      </w:r>
      <w:r>
        <w:rPr>
          <w:rFonts w:hint="eastAsia" w:ascii="Times New Roman" w:hAnsi="Times New Roman" w:eastAsia="宋体" w:cs="Times New Roman"/>
          <w:szCs w:val="22"/>
        </w:rPr>
        <w:t>不接受</w:t>
      </w:r>
      <w:r>
        <w:rPr>
          <w:rFonts w:ascii="Times New Roman" w:hAnsi="Times New Roman" w:eastAsia="宋体" w:cs="Times New Roman"/>
          <w:szCs w:val="22"/>
        </w:rPr>
        <w:t>联合体报价。</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imes New Roman" w:hAnsi="Times New Roman" w:eastAsia="宋体" w:cs="Times New Roman"/>
          <w:sz w:val="18"/>
          <w:szCs w:val="21"/>
        </w:rPr>
      </w:pPr>
      <w:r>
        <w:rPr>
          <w:rFonts w:ascii="Times New Roman" w:hAnsi="Times New Roman" w:eastAsia="宋体" w:cs="Times New Roman"/>
          <w:szCs w:val="22"/>
        </w:rPr>
        <w:t>3.3 单位负责人为同一人或者存在控股、管理关系的不同单位，不得同时参加同一合同包报价，否则相关响应文件均无效。</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ascii="Times New Roman" w:hAnsi="Times New Roman" w:eastAsia="黑体" w:cs="Times New Roman"/>
          <w:b w:val="0"/>
          <w:bCs/>
          <w:kern w:val="2"/>
          <w:sz w:val="22"/>
          <w:szCs w:val="15"/>
          <w:lang w:val="en-US" w:eastAsia="zh-CN" w:bidi="ar-SA"/>
        </w:rPr>
      </w:pPr>
      <w:bookmarkStart w:id="25" w:name="_Toc525632588"/>
      <w:bookmarkStart w:id="26" w:name="_Toc4109_WPSOffice_Level2"/>
      <w:bookmarkStart w:id="27" w:name="_Toc4751"/>
      <w:bookmarkStart w:id="28" w:name="_Toc25666_WPSOffice_Level2"/>
      <w:bookmarkStart w:id="29" w:name="_Toc2996_WPSOffice_Level2"/>
      <w:bookmarkStart w:id="30" w:name="_Toc29452_WPSOffice_Level2"/>
      <w:bookmarkStart w:id="31" w:name="_Toc1994"/>
      <w:r>
        <w:rPr>
          <w:rFonts w:hint="eastAsia" w:ascii="Times New Roman" w:hAnsi="Times New Roman" w:eastAsia="黑体" w:cs="Times New Roman"/>
          <w:b w:val="0"/>
          <w:bCs/>
          <w:kern w:val="2"/>
          <w:sz w:val="22"/>
          <w:szCs w:val="15"/>
          <w:lang w:val="en-US" w:eastAsia="zh-CN" w:bidi="ar-SA"/>
        </w:rPr>
        <w:t>询比文件</w:t>
      </w:r>
      <w:r>
        <w:rPr>
          <w:rFonts w:ascii="Times New Roman" w:hAnsi="Times New Roman" w:eastAsia="黑体" w:cs="Times New Roman"/>
          <w:b w:val="0"/>
          <w:bCs/>
          <w:kern w:val="2"/>
          <w:sz w:val="22"/>
          <w:szCs w:val="15"/>
          <w:lang w:val="en-US" w:eastAsia="zh-CN" w:bidi="ar-SA"/>
        </w:rPr>
        <w:t>的获取</w:t>
      </w:r>
      <w:bookmarkEnd w:id="25"/>
      <w:bookmarkEnd w:id="26"/>
      <w:bookmarkEnd w:id="27"/>
      <w:bookmarkEnd w:id="28"/>
      <w:bookmarkEnd w:id="29"/>
      <w:bookmarkEnd w:id="30"/>
      <w:bookmarkEnd w:id="31"/>
    </w:p>
    <w:p>
      <w:pPr>
        <w:pStyle w:val="15"/>
        <w:keepNext w:val="0"/>
        <w:keepLines w:val="0"/>
        <w:widowControl/>
        <w:suppressLineNumbers w:val="0"/>
        <w:spacing w:before="0" w:beforeAutospacing="0" w:after="0" w:afterAutospacing="0" w:line="30" w:lineRule="atLeast"/>
        <w:ind w:left="0" w:right="0" w:firstLine="420" w:firstLineChars="200"/>
        <w:jc w:val="both"/>
        <w:rPr>
          <w:rFonts w:ascii="Times New Roman" w:hAnsi="Times New Roman" w:eastAsia="宋体" w:cs="Times New Roman"/>
          <w:kern w:val="2"/>
          <w:sz w:val="21"/>
          <w:szCs w:val="22"/>
          <w:lang w:val="en-US" w:eastAsia="zh-CN" w:bidi="ar-SA"/>
        </w:rPr>
      </w:pPr>
      <w:bookmarkStart w:id="32" w:name="_Toc525632589"/>
      <w:bookmarkStart w:id="33" w:name="_Toc726"/>
      <w:r>
        <w:rPr>
          <w:rFonts w:ascii="Times New Roman" w:hAnsi="Times New Roman" w:eastAsia="宋体" w:cs="Times New Roman"/>
          <w:kern w:val="2"/>
          <w:sz w:val="21"/>
          <w:szCs w:val="22"/>
          <w:lang w:val="en-US" w:eastAsia="zh-CN" w:bidi="ar-SA"/>
        </w:rPr>
        <w:t>供应商应在递交响应文件的截止时间前登录“安徽省经工建设集团有限公司”网站（https://www.ahjggroup.com/）“通知公告”栏，选择所参加的合同包，自行下载询比文件及相关资料（含澄清、补遗及相关补充文件）。未按规定在“安徽省经工建设集团有限公司”（https://www.ahjggroup.com/）“通知公告”栏下载询比文件的，后续将不予接受其响应文件。</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响应文件的递交</w:t>
      </w:r>
      <w:bookmarkEnd w:id="32"/>
      <w:bookmarkEnd w:id="33"/>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firstLineChars="200"/>
        <w:jc w:val="both"/>
        <w:textAlignment w:val="auto"/>
        <w:rPr>
          <w:rFonts w:hint="eastAsia" w:ascii="Times New Roman" w:hAnsi="Times New Roman" w:eastAsia="宋体" w:cs="Times New Roman"/>
          <w:kern w:val="2"/>
          <w:sz w:val="21"/>
          <w:szCs w:val="22"/>
          <w:u w:val="none"/>
          <w:lang w:val="en-US" w:eastAsia="zh-CN" w:bidi="ar-SA"/>
        </w:rPr>
      </w:pPr>
      <w:bookmarkStart w:id="34" w:name="_Toc22719"/>
      <w:bookmarkStart w:id="35" w:name="_Toc525632591"/>
      <w:r>
        <w:rPr>
          <w:rFonts w:hint="eastAsia" w:ascii="宋体" w:hAnsi="宋体" w:eastAsia="宋体" w:cs="宋体"/>
          <w:kern w:val="0"/>
          <w:sz w:val="21"/>
          <w:szCs w:val="21"/>
          <w:lang w:val="en-US" w:eastAsia="zh-CN" w:bidi="ar-SA"/>
        </w:rPr>
        <w:t>响应文件递交的截止时间</w:t>
      </w:r>
      <w:r>
        <w:rPr>
          <w:rFonts w:hint="eastAsia" w:ascii="宋体" w:hAnsi="宋体" w:eastAsia="宋体" w:cs="宋体"/>
          <w:kern w:val="0"/>
          <w:sz w:val="21"/>
          <w:szCs w:val="21"/>
          <w:highlight w:val="none"/>
          <w:lang w:val="en-US" w:eastAsia="zh-CN" w:bidi="ar-SA"/>
        </w:rPr>
        <w:t>为</w:t>
      </w:r>
      <w:r>
        <w:rPr>
          <w:rFonts w:hint="eastAsia" w:ascii="宋体" w:hAnsi="宋体" w:eastAsia="宋体" w:cs="宋体"/>
          <w:b/>
          <w:bCs/>
          <w:kern w:val="0"/>
          <w:sz w:val="21"/>
          <w:szCs w:val="21"/>
          <w:highlight w:val="none"/>
          <w:u w:val="single"/>
          <w:lang w:val="en-US" w:eastAsia="zh-CN" w:bidi="ar-SA"/>
        </w:rPr>
        <w:t xml:space="preserve"> 2023 </w:t>
      </w:r>
      <w:r>
        <w:rPr>
          <w:rFonts w:hint="eastAsia" w:ascii="宋体" w:hAnsi="宋体" w:eastAsia="宋体" w:cs="宋体"/>
          <w:b/>
          <w:bCs/>
          <w:kern w:val="0"/>
          <w:sz w:val="21"/>
          <w:szCs w:val="21"/>
          <w:highlight w:val="none"/>
          <w:lang w:val="en-US" w:eastAsia="zh-CN" w:bidi="ar-SA"/>
        </w:rPr>
        <w:t>年</w:t>
      </w:r>
      <w:r>
        <w:rPr>
          <w:rFonts w:hint="eastAsia" w:ascii="宋体" w:hAnsi="宋体" w:eastAsia="宋体" w:cs="宋体"/>
          <w:b/>
          <w:bCs/>
          <w:kern w:val="0"/>
          <w:sz w:val="21"/>
          <w:szCs w:val="21"/>
          <w:highlight w:val="none"/>
          <w:u w:val="single"/>
          <w:lang w:val="en-US" w:eastAsia="zh-CN" w:bidi="ar-SA"/>
        </w:rPr>
        <w:t xml:space="preserve"> 11 </w:t>
      </w:r>
      <w:r>
        <w:rPr>
          <w:rFonts w:hint="eastAsia" w:ascii="宋体" w:hAnsi="宋体" w:eastAsia="宋体" w:cs="宋体"/>
          <w:b/>
          <w:bCs/>
          <w:kern w:val="0"/>
          <w:sz w:val="21"/>
          <w:szCs w:val="21"/>
          <w:highlight w:val="none"/>
          <w:lang w:val="en-US" w:eastAsia="zh-CN" w:bidi="ar-SA"/>
        </w:rPr>
        <w:t>月</w:t>
      </w:r>
      <w:r>
        <w:rPr>
          <w:rFonts w:hint="eastAsia" w:ascii="宋体" w:hAnsi="宋体" w:eastAsia="宋体" w:cs="宋体"/>
          <w:b/>
          <w:bCs/>
          <w:kern w:val="0"/>
          <w:sz w:val="21"/>
          <w:szCs w:val="21"/>
          <w:highlight w:val="none"/>
          <w:u w:val="single"/>
          <w:lang w:val="en-US" w:eastAsia="zh-CN" w:bidi="ar-SA"/>
        </w:rPr>
        <w:t xml:space="preserve"> 3</w:t>
      </w:r>
      <w:r>
        <w:rPr>
          <w:rFonts w:hint="eastAsia" w:ascii="宋体" w:hAnsi="宋体" w:eastAsia="宋体" w:cs="宋体"/>
          <w:b/>
          <w:bCs/>
          <w:kern w:val="0"/>
          <w:sz w:val="21"/>
          <w:szCs w:val="21"/>
          <w:highlight w:val="none"/>
          <w:lang w:val="en-US" w:eastAsia="zh-CN" w:bidi="ar-SA"/>
        </w:rPr>
        <w:t>日</w:t>
      </w:r>
      <w:r>
        <w:rPr>
          <w:rFonts w:hint="eastAsia" w:ascii="宋体" w:hAnsi="宋体" w:eastAsia="宋体" w:cs="宋体"/>
          <w:b/>
          <w:bCs/>
          <w:kern w:val="0"/>
          <w:sz w:val="21"/>
          <w:szCs w:val="21"/>
          <w:highlight w:val="none"/>
          <w:u w:val="single"/>
          <w:lang w:val="en-US" w:eastAsia="zh-CN" w:bidi="ar-SA"/>
        </w:rPr>
        <w:t xml:space="preserve"> 9 </w:t>
      </w:r>
      <w:r>
        <w:rPr>
          <w:rFonts w:hint="eastAsia" w:ascii="宋体" w:hAnsi="宋体" w:eastAsia="宋体" w:cs="宋体"/>
          <w:b/>
          <w:bCs/>
          <w:kern w:val="0"/>
          <w:sz w:val="21"/>
          <w:szCs w:val="21"/>
          <w:highlight w:val="none"/>
          <w:lang w:val="en-US" w:eastAsia="zh-CN" w:bidi="ar-SA"/>
        </w:rPr>
        <w:t>时</w:t>
      </w:r>
      <w:r>
        <w:rPr>
          <w:rFonts w:hint="eastAsia" w:ascii="宋体" w:hAnsi="宋体" w:eastAsia="宋体" w:cs="宋体"/>
          <w:b/>
          <w:bCs/>
          <w:kern w:val="0"/>
          <w:sz w:val="21"/>
          <w:szCs w:val="21"/>
          <w:highlight w:val="none"/>
          <w:u w:val="single"/>
          <w:lang w:val="en-US" w:eastAsia="zh-CN" w:bidi="ar-SA"/>
        </w:rPr>
        <w:t xml:space="preserve"> 30 </w:t>
      </w:r>
      <w:r>
        <w:rPr>
          <w:rFonts w:hint="eastAsia" w:ascii="宋体" w:hAnsi="宋体" w:eastAsia="宋体" w:cs="宋体"/>
          <w:b/>
          <w:bCs/>
          <w:kern w:val="0"/>
          <w:sz w:val="21"/>
          <w:szCs w:val="21"/>
          <w:highlight w:val="none"/>
          <w:lang w:val="en-US" w:eastAsia="zh-CN" w:bidi="ar-SA"/>
        </w:rPr>
        <w:t>分</w:t>
      </w:r>
      <w:r>
        <w:rPr>
          <w:rFonts w:hint="eastAsia" w:ascii="宋体" w:hAnsi="宋体" w:eastAsia="宋体" w:cs="宋体"/>
          <w:kern w:val="0"/>
          <w:sz w:val="21"/>
          <w:szCs w:val="21"/>
          <w:highlight w:val="none"/>
          <w:lang w:val="en-US" w:eastAsia="zh-CN" w:bidi="ar-SA"/>
        </w:rPr>
        <w:t>，供</w:t>
      </w:r>
      <w:r>
        <w:rPr>
          <w:rFonts w:hint="eastAsia" w:ascii="宋体" w:hAnsi="宋体" w:eastAsia="宋体" w:cs="宋体"/>
          <w:kern w:val="0"/>
          <w:sz w:val="21"/>
          <w:szCs w:val="21"/>
          <w:lang w:val="en-US" w:eastAsia="zh-CN" w:bidi="ar-SA"/>
        </w:rPr>
        <w:t>应商的法定代表人或其授权代理人应在文件递交截止时间前，将响应文件递交</w:t>
      </w:r>
      <w:r>
        <w:rPr>
          <w:rFonts w:hint="eastAsia" w:ascii="宋体" w:hAnsi="宋体" w:eastAsia="宋体" w:cs="宋体"/>
          <w:kern w:val="0"/>
          <w:sz w:val="21"/>
          <w:szCs w:val="21"/>
          <w:u w:val="none"/>
          <w:lang w:val="en-US" w:eastAsia="zh-CN" w:bidi="ar-SA"/>
        </w:rPr>
        <w:t>至</w:t>
      </w:r>
      <w:r>
        <w:rPr>
          <w:rFonts w:hint="eastAsia" w:ascii="宋体" w:hAnsi="宋体" w:eastAsia="宋体" w:cs="宋体"/>
          <w:kern w:val="2"/>
          <w:sz w:val="21"/>
          <w:szCs w:val="21"/>
          <w:u w:val="none"/>
          <w:lang w:val="en-US" w:eastAsia="zh-CN" w:bidi="ar-SA"/>
        </w:rPr>
        <w:t>安徽省合肥市包河</w:t>
      </w:r>
      <w:r>
        <w:rPr>
          <w:rFonts w:hint="eastAsia" w:ascii="宋体" w:hAnsi="宋体" w:eastAsia="宋体" w:cs="宋体"/>
          <w:kern w:val="2"/>
          <w:sz w:val="21"/>
          <w:szCs w:val="21"/>
          <w:highlight w:val="none"/>
          <w:u w:val="none"/>
          <w:lang w:val="en-US" w:eastAsia="zh-CN" w:bidi="ar-SA"/>
        </w:rPr>
        <w:t>区西藏路1588号高</w:t>
      </w:r>
      <w:r>
        <w:rPr>
          <w:rFonts w:hint="eastAsia" w:ascii="宋体" w:hAnsi="宋体" w:eastAsia="宋体" w:cs="宋体"/>
          <w:kern w:val="2"/>
          <w:sz w:val="21"/>
          <w:szCs w:val="21"/>
          <w:u w:val="none"/>
          <w:lang w:val="en-US" w:eastAsia="zh-CN" w:bidi="ar-SA"/>
        </w:rPr>
        <w:t>速时代广场C1栋1008安徽省经工物资有限公司</w:t>
      </w:r>
      <w:r>
        <w:rPr>
          <w:rFonts w:hint="eastAsia" w:ascii="宋体" w:hAnsi="宋体" w:eastAsia="宋体" w:cs="宋体"/>
          <w:kern w:val="2"/>
          <w:sz w:val="21"/>
          <w:szCs w:val="21"/>
          <w:lang w:val="en-US" w:eastAsia="zh-CN" w:bidi="ar-SA"/>
        </w:rPr>
        <w:t>。</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响应文件启封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eastAsia="宋体" w:cs="Times New Roman"/>
          <w:b/>
          <w:bCs/>
          <w:szCs w:val="22"/>
          <w:highlight w:val="none"/>
          <w:lang w:val="en-US" w:eastAsia="zh-CN"/>
        </w:rPr>
      </w:pPr>
      <w:r>
        <w:rPr>
          <w:rFonts w:ascii="Times New Roman" w:hAnsi="Times New Roman" w:eastAsia="宋体" w:cs="Times New Roman"/>
          <w:szCs w:val="22"/>
          <w:highlight w:val="none"/>
        </w:rPr>
        <w:t>响应文件的递交截止时间到后，采购人将于</w:t>
      </w:r>
      <w:r>
        <w:rPr>
          <w:rFonts w:hint="eastAsia" w:ascii="Times New Roman" w:hAnsi="Times New Roman" w:eastAsia="宋体" w:cs="Times New Roman"/>
          <w:szCs w:val="22"/>
          <w:highlight w:val="none"/>
          <w:u w:val="single"/>
        </w:rPr>
        <w:t>安徽省合肥市包河区西藏路1</w:t>
      </w:r>
      <w:r>
        <w:rPr>
          <w:rFonts w:hint="eastAsia" w:ascii="Times New Roman" w:hAnsi="Times New Roman" w:eastAsia="宋体" w:cs="Times New Roman"/>
          <w:szCs w:val="22"/>
          <w:highlight w:val="none"/>
          <w:u w:val="single"/>
          <w:lang w:val="en-US" w:eastAsia="zh-CN"/>
        </w:rPr>
        <w:t>588</w:t>
      </w:r>
      <w:r>
        <w:rPr>
          <w:rFonts w:hint="eastAsia" w:ascii="Times New Roman" w:hAnsi="Times New Roman" w:eastAsia="宋体" w:cs="Times New Roman"/>
          <w:szCs w:val="22"/>
          <w:highlight w:val="none"/>
          <w:u w:val="single"/>
        </w:rPr>
        <w:t>号高速时代广场C1栋</w:t>
      </w:r>
      <w:r>
        <w:rPr>
          <w:rFonts w:hint="eastAsia" w:ascii="Times New Roman" w:hAnsi="Times New Roman" w:eastAsia="宋体" w:cs="Times New Roman"/>
          <w:szCs w:val="22"/>
          <w:highlight w:val="none"/>
          <w:u w:val="single"/>
          <w:lang w:val="en-US" w:eastAsia="zh-CN"/>
        </w:rPr>
        <w:t>1008</w:t>
      </w:r>
      <w:r>
        <w:rPr>
          <w:rFonts w:hint="eastAsia" w:ascii="Times New Roman" w:hAnsi="Times New Roman" w:eastAsia="宋体" w:cs="Times New Roman"/>
          <w:kern w:val="2"/>
          <w:sz w:val="21"/>
          <w:szCs w:val="22"/>
          <w:highlight w:val="none"/>
          <w:u w:val="single"/>
        </w:rPr>
        <w:t>安徽</w:t>
      </w:r>
      <w:r>
        <w:rPr>
          <w:rFonts w:hint="eastAsia" w:ascii="Times New Roman" w:hAnsi="Times New Roman" w:eastAsia="宋体" w:cs="Times New Roman"/>
          <w:kern w:val="2"/>
          <w:sz w:val="21"/>
          <w:szCs w:val="22"/>
          <w:highlight w:val="none"/>
          <w:u w:val="single"/>
          <w:lang w:val="en-US" w:eastAsia="zh-CN"/>
        </w:rPr>
        <w:t>省经工物资有限公司</w:t>
      </w:r>
      <w:r>
        <w:rPr>
          <w:rFonts w:ascii="Times New Roman" w:hAnsi="Times New Roman" w:eastAsia="宋体" w:cs="Times New Roman"/>
          <w:szCs w:val="22"/>
          <w:highlight w:val="none"/>
        </w:rPr>
        <w:t>（地点）</w:t>
      </w:r>
      <w:r>
        <w:rPr>
          <w:rFonts w:hint="eastAsia" w:ascii="Times New Roman" w:hAnsi="Times New Roman" w:eastAsia="宋体" w:cs="Times New Roman"/>
          <w:szCs w:val="22"/>
          <w:highlight w:val="none"/>
        </w:rPr>
        <w:t>现场</w:t>
      </w:r>
      <w:r>
        <w:rPr>
          <w:rFonts w:ascii="Times New Roman" w:hAnsi="Times New Roman" w:eastAsia="宋体" w:cs="Times New Roman"/>
          <w:szCs w:val="22"/>
          <w:highlight w:val="none"/>
        </w:rPr>
        <w:t>组织进行响应文件的启</w:t>
      </w:r>
      <w:r>
        <w:rPr>
          <w:rFonts w:hint="eastAsia" w:ascii="Times New Roman" w:hAnsi="Times New Roman" w:eastAsia="宋体" w:cs="Times New Roman"/>
          <w:szCs w:val="22"/>
          <w:highlight w:val="none"/>
        </w:rPr>
        <w:t>封。</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响应保证金</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响应保证金的金额：</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本项目响应保证金：</w:t>
      </w:r>
      <w:r>
        <w:rPr>
          <w:rFonts w:hint="eastAsia" w:ascii="宋体" w:hAnsi="宋体" w:eastAsia="宋体" w:cs="宋体"/>
          <w:b/>
          <w:bCs/>
          <w:kern w:val="2"/>
          <w:sz w:val="21"/>
          <w:szCs w:val="21"/>
          <w:highlight w:val="none"/>
          <w:u w:val="single"/>
          <w:lang w:val="en-US" w:eastAsia="zh-CN" w:bidi="ar-SA"/>
        </w:rPr>
        <w:t xml:space="preserve"> 10000 </w:t>
      </w:r>
      <w:r>
        <w:rPr>
          <w:rFonts w:hint="eastAsia" w:ascii="宋体" w:hAnsi="宋体" w:eastAsia="宋体" w:cs="宋体"/>
          <w:b/>
          <w:bCs/>
          <w:kern w:val="2"/>
          <w:sz w:val="21"/>
          <w:szCs w:val="21"/>
          <w:highlight w:val="none"/>
          <w:lang w:val="en-US" w:eastAsia="zh-CN" w:bidi="ar-SA"/>
        </w:rPr>
        <w:t>元（大写：</w:t>
      </w:r>
      <w:r>
        <w:rPr>
          <w:rFonts w:hint="eastAsia" w:ascii="宋体" w:hAnsi="宋体" w:eastAsia="宋体" w:cs="宋体"/>
          <w:b/>
          <w:bCs/>
          <w:kern w:val="2"/>
          <w:sz w:val="21"/>
          <w:szCs w:val="21"/>
          <w:highlight w:val="none"/>
          <w:u w:val="single"/>
          <w:lang w:val="en-US" w:eastAsia="zh-CN" w:bidi="ar-SA"/>
        </w:rPr>
        <w:t xml:space="preserve"> 壹万元整 </w:t>
      </w:r>
      <w:r>
        <w:rPr>
          <w:rFonts w:hint="eastAsia" w:ascii="宋体" w:hAnsi="宋体" w:eastAsia="宋体" w:cs="宋体"/>
          <w:b/>
          <w:bCs/>
          <w:kern w:val="2"/>
          <w:sz w:val="21"/>
          <w:szCs w:val="21"/>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报价方应向询价方以下账户递交询价响应保证金，以转账方式从报价方账户转出</w:t>
      </w:r>
      <w:r>
        <w:rPr>
          <w:rFonts w:hint="eastAsia" w:ascii="宋体" w:hAnsi="宋体" w:eastAsia="宋体" w:cs="宋体"/>
          <w:b w:val="0"/>
          <w:bCs w:val="0"/>
          <w:kern w:val="2"/>
          <w:sz w:val="21"/>
          <w:szCs w:val="21"/>
          <w:highlight w:val="none"/>
          <w:lang w:val="en-US" w:eastAsia="zh-CN" w:bidi="ar-SA"/>
        </w:rPr>
        <w:t>，</w:t>
      </w:r>
      <w:r>
        <w:rPr>
          <w:rFonts w:hint="eastAsia" w:ascii="宋体" w:hAnsi="宋体" w:eastAsia="宋体" w:cs="宋体"/>
          <w:b/>
          <w:bCs/>
          <w:kern w:val="2"/>
          <w:sz w:val="21"/>
          <w:szCs w:val="21"/>
          <w:highlight w:val="none"/>
          <w:lang w:val="en-US" w:eastAsia="zh-CN" w:bidi="ar-SA"/>
        </w:rPr>
        <w:t>并将银行的电子回执单作为其响应文件的组成部分。</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户名：安徽省经工物资有限公司</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开户银行：工行合肥银河支行</w:t>
      </w:r>
    </w:p>
    <w:p>
      <w:pPr>
        <w:keepNext w:val="0"/>
        <w:keepLines w:val="0"/>
        <w:pageBreakBefore w:val="0"/>
        <w:widowControl/>
        <w:kinsoku/>
        <w:wordWrap/>
        <w:overflowPunct/>
        <w:topLinePunct w:val="0"/>
        <w:autoSpaceDE/>
        <w:autoSpaceDN/>
        <w:bidi w:val="0"/>
        <w:adjustRightInd/>
        <w:spacing w:before="0" w:beforeAutospacing="0" w:after="0" w:afterAutospacing="0" w:line="400" w:lineRule="exact"/>
        <w:ind w:firstLine="42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账号：1302 0121 1920 0034 038</w:t>
      </w:r>
    </w:p>
    <w:p>
      <w:pPr>
        <w:keepNext w:val="0"/>
        <w:keepLines w:val="0"/>
        <w:pageBreakBefore w:val="0"/>
        <w:widowControl w:val="0"/>
        <w:kinsoku/>
        <w:wordWrap/>
        <w:overflowPunct/>
        <w:topLinePunct w:val="0"/>
        <w:autoSpaceDE/>
        <w:autoSpaceDN/>
        <w:bidi w:val="0"/>
        <w:adjustRightInd/>
        <w:snapToGrid/>
        <w:spacing w:after="120" w:line="400" w:lineRule="exact"/>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lang w:val="en-US" w:eastAsia="zh-CN" w:bidi="ar-SA"/>
        </w:rPr>
        <w:t>汇款或转账时，报价方必须在付款凭证备注栏中注明</w:t>
      </w:r>
      <w:r>
        <w:rPr>
          <w:rFonts w:hint="eastAsia" w:ascii="宋体" w:hAnsi="宋体" w:eastAsia="宋体" w:cs="宋体"/>
          <w:b/>
          <w:bCs/>
          <w:kern w:val="2"/>
          <w:sz w:val="21"/>
          <w:szCs w:val="21"/>
          <w:highlight w:val="none"/>
          <w:u w:val="single"/>
          <w:lang w:val="en-US" w:eastAsia="zh-CN" w:bidi="ar-SA"/>
        </w:rPr>
        <w:t>“活动家具采购项目”</w:t>
      </w:r>
      <w:r>
        <w:rPr>
          <w:rFonts w:hint="eastAsia" w:ascii="宋体" w:hAnsi="宋体" w:eastAsia="宋体" w:cs="宋体"/>
          <w:kern w:val="2"/>
          <w:sz w:val="21"/>
          <w:szCs w:val="21"/>
          <w:lang w:val="en-US" w:eastAsia="zh-CN" w:bidi="ar-SA"/>
        </w:rPr>
        <w:t>字样。保证金备注栏中必须明确所参与具体标段名称，因报价方未备注或错误备注而导致不能及时查验到账的，责任由报价方承担。若采用电汇（转账）形式，询价响应保证金必须由报价方的账户一次性汇入本询价文件所示账户，并在</w:t>
      </w:r>
      <w:r>
        <w:rPr>
          <w:rFonts w:hint="eastAsia" w:ascii="宋体" w:hAnsi="宋体" w:eastAsia="宋体" w:cs="宋体"/>
          <w:b/>
          <w:bCs/>
          <w:kern w:val="2"/>
          <w:sz w:val="21"/>
          <w:szCs w:val="21"/>
          <w:highlight w:val="none"/>
          <w:u w:val="single"/>
          <w:lang w:val="en-US" w:eastAsia="zh-CN" w:bidi="ar-SA"/>
        </w:rPr>
        <w:t>投标截止时间前一个小时到账，否则无效</w:t>
      </w:r>
      <w:r>
        <w:rPr>
          <w:rFonts w:hint="eastAsia" w:ascii="宋体" w:hAnsi="宋体" w:eastAsia="宋体" w:cs="宋体"/>
          <w:kern w:val="2"/>
          <w:sz w:val="21"/>
          <w:szCs w:val="21"/>
          <w:highlight w:val="none"/>
          <w:lang w:val="en-US" w:eastAsia="zh-CN" w:bidi="ar-SA"/>
        </w:rPr>
        <w:t xml:space="preserve">。           </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Times New Roman" w:hAnsi="Times New Roman" w:eastAsia="黑体" w:cs="Times New Roman"/>
          <w:b w:val="0"/>
          <w:bCs/>
          <w:kern w:val="2"/>
          <w:sz w:val="22"/>
          <w:szCs w:val="15"/>
          <w:lang w:val="en-US" w:eastAsia="zh-CN" w:bidi="ar-SA"/>
        </w:rPr>
      </w:pPr>
      <w:r>
        <w:rPr>
          <w:rFonts w:hint="eastAsia" w:ascii="Times New Roman" w:hAnsi="Times New Roman" w:eastAsia="黑体" w:cs="Times New Roman"/>
          <w:b w:val="0"/>
          <w:bCs/>
          <w:kern w:val="2"/>
          <w:sz w:val="22"/>
          <w:szCs w:val="15"/>
          <w:lang w:val="en-US" w:eastAsia="zh-CN" w:bidi="ar-SA"/>
        </w:rPr>
        <w:t>发布公告的媒介</w:t>
      </w:r>
      <w:bookmarkEnd w:id="34"/>
      <w:bookmarkEnd w:id="35"/>
    </w:p>
    <w:p>
      <w:pPr>
        <w:pStyle w:val="15"/>
        <w:keepNext w:val="0"/>
        <w:keepLines w:val="0"/>
        <w:widowControl/>
        <w:suppressLineNumbers w:val="0"/>
        <w:spacing w:before="0" w:beforeAutospacing="0" w:after="0" w:afterAutospacing="0" w:line="30" w:lineRule="atLeast"/>
        <w:ind w:left="0" w:right="0" w:firstLine="420" w:firstLineChars="200"/>
        <w:jc w:val="both"/>
        <w:rPr>
          <w:rFonts w:hint="eastAsia" w:ascii="宋体" w:hAnsi="宋体" w:eastAsia="宋体" w:cs="宋体"/>
          <w:kern w:val="2"/>
          <w:sz w:val="21"/>
          <w:szCs w:val="21"/>
          <w:lang w:val="en-US" w:eastAsia="zh-CN" w:bidi="ar-SA"/>
        </w:rPr>
      </w:pPr>
      <w:bookmarkStart w:id="36" w:name="_Toc28571_WPSOffice_Level2"/>
      <w:bookmarkStart w:id="37" w:name="_Toc321_WPSOffice_Level2"/>
      <w:bookmarkStart w:id="38" w:name="_Toc8501"/>
      <w:bookmarkStart w:id="39" w:name="_Toc26829"/>
      <w:bookmarkStart w:id="40" w:name="_Toc525632592"/>
      <w:bookmarkStart w:id="41" w:name="_Toc20572_WPSOffice_Level2"/>
      <w:bookmarkStart w:id="42" w:name="_Toc14943_WPSOffice_Level2"/>
      <w:r>
        <w:rPr>
          <w:rFonts w:hint="eastAsia" w:ascii="宋体" w:hAnsi="宋体" w:eastAsia="宋体" w:cs="宋体"/>
          <w:kern w:val="2"/>
          <w:sz w:val="21"/>
          <w:szCs w:val="21"/>
          <w:lang w:val="en-US" w:eastAsia="zh-CN" w:bidi="ar-SA"/>
        </w:rPr>
        <w:t>本次采购公告在“安徽省经工建设集团有限公司网站（https://www.ahjggroup.com/）“通知公告”栏上发布。</w:t>
      </w:r>
    </w:p>
    <w:p>
      <w:pPr>
        <w:keepNext/>
        <w:keepLines/>
        <w:pageBreakBefore w:val="0"/>
        <w:widowControl w:val="0"/>
        <w:numPr>
          <w:ilvl w:val="0"/>
          <w:numId w:val="2"/>
        </w:numPr>
        <w:kinsoku/>
        <w:wordWrap/>
        <w:overflowPunct/>
        <w:topLinePunct w:val="0"/>
        <w:autoSpaceDE/>
        <w:autoSpaceDN/>
        <w:bidi w:val="0"/>
        <w:adjustRightInd/>
        <w:snapToGrid w:val="0"/>
        <w:spacing w:before="120" w:after="120" w:line="400" w:lineRule="exact"/>
        <w:ind w:firstLine="403"/>
        <w:jc w:val="both"/>
        <w:textAlignment w:val="auto"/>
        <w:outlineLvl w:val="1"/>
        <w:rPr>
          <w:rFonts w:hint="eastAsia" w:ascii="宋体" w:hAnsi="宋体" w:eastAsia="宋体" w:cs="宋体"/>
          <w:b w:val="0"/>
          <w:bCs/>
          <w:kern w:val="2"/>
          <w:sz w:val="21"/>
          <w:szCs w:val="21"/>
          <w:lang w:val="en-US" w:eastAsia="zh-CN" w:bidi="ar-SA"/>
        </w:rPr>
      </w:pPr>
      <w:r>
        <w:rPr>
          <w:rFonts w:hint="eastAsia" w:ascii="Times New Roman" w:hAnsi="Times New Roman" w:eastAsia="黑体" w:cs="Times New Roman"/>
          <w:b w:val="0"/>
          <w:bCs/>
          <w:kern w:val="2"/>
          <w:sz w:val="22"/>
          <w:szCs w:val="15"/>
          <w:lang w:val="en-US" w:eastAsia="zh-CN" w:bidi="ar-SA"/>
        </w:rPr>
        <w:t>采购人联系方式</w:t>
      </w:r>
      <w:bookmarkEnd w:id="36"/>
      <w:bookmarkEnd w:id="37"/>
      <w:bookmarkEnd w:id="38"/>
      <w:bookmarkEnd w:id="39"/>
      <w:bookmarkEnd w:id="40"/>
      <w:bookmarkEnd w:id="41"/>
      <w:bookmarkEnd w:id="42"/>
      <w:r>
        <w:rPr>
          <w:rFonts w:hint="eastAsia" w:ascii="Times New Roman" w:hAnsi="Times New Roman" w:eastAsia="黑体" w:cs="Times New Roman"/>
          <w:b w:val="0"/>
          <w:bCs/>
          <w:kern w:val="2"/>
          <w:sz w:val="22"/>
          <w:szCs w:val="15"/>
          <w:lang w:val="en-US" w:eastAsia="zh-CN" w:bidi="ar-SA"/>
        </w:rPr>
        <w:t xml:space="preserve">     </w:t>
      </w:r>
      <w:r>
        <w:rPr>
          <w:rFonts w:hint="eastAsia" w:ascii="宋体" w:hAnsi="宋体" w:eastAsia="宋体" w:cs="宋体"/>
          <w:b w:val="0"/>
          <w:bCs/>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 购 人：</w:t>
      </w:r>
      <w:r>
        <w:rPr>
          <w:rFonts w:hint="eastAsia" w:ascii="宋体" w:hAnsi="宋体" w:eastAsia="宋体" w:cs="宋体"/>
          <w:kern w:val="2"/>
          <w:sz w:val="21"/>
          <w:szCs w:val="21"/>
        </w:rPr>
        <w:t>安徽</w:t>
      </w:r>
      <w:r>
        <w:rPr>
          <w:rFonts w:hint="eastAsia" w:ascii="宋体" w:hAnsi="宋体" w:eastAsia="宋体" w:cs="宋体"/>
          <w:kern w:val="2"/>
          <w:sz w:val="21"/>
          <w:szCs w:val="21"/>
          <w:lang w:val="en-US" w:eastAsia="zh-CN"/>
        </w:rPr>
        <w:t>省经工物资有限公司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地    址：</w:t>
      </w:r>
      <w:r>
        <w:rPr>
          <w:rFonts w:hint="eastAsia" w:ascii="宋体" w:hAnsi="宋体" w:eastAsia="宋体" w:cs="宋体"/>
          <w:kern w:val="2"/>
          <w:sz w:val="21"/>
          <w:szCs w:val="21"/>
        </w:rPr>
        <w:t>安徽省合肥市包河区西藏路</w:t>
      </w:r>
      <w:r>
        <w:rPr>
          <w:rFonts w:hint="eastAsia" w:ascii="宋体" w:hAnsi="宋体" w:eastAsia="宋体" w:cs="宋体"/>
          <w:kern w:val="2"/>
          <w:sz w:val="21"/>
          <w:szCs w:val="21"/>
          <w:highlight w:val="none"/>
        </w:rPr>
        <w:t>1</w:t>
      </w:r>
      <w:r>
        <w:rPr>
          <w:rFonts w:hint="eastAsia" w:ascii="宋体" w:hAnsi="宋体" w:eastAsia="宋体" w:cs="宋体"/>
          <w:kern w:val="2"/>
          <w:sz w:val="21"/>
          <w:szCs w:val="21"/>
          <w:highlight w:val="none"/>
          <w:lang w:val="en-US" w:eastAsia="zh-CN"/>
        </w:rPr>
        <w:t>588</w:t>
      </w:r>
      <w:r>
        <w:rPr>
          <w:rFonts w:hint="eastAsia" w:ascii="宋体" w:hAnsi="宋体" w:eastAsia="宋体" w:cs="宋体"/>
          <w:kern w:val="2"/>
          <w:sz w:val="21"/>
          <w:szCs w:val="21"/>
          <w:highlight w:val="none"/>
        </w:rPr>
        <w:t>号高</w:t>
      </w:r>
      <w:r>
        <w:rPr>
          <w:rFonts w:hint="eastAsia" w:ascii="宋体" w:hAnsi="宋体" w:eastAsia="宋体" w:cs="宋体"/>
          <w:kern w:val="2"/>
          <w:sz w:val="21"/>
          <w:szCs w:val="21"/>
        </w:rPr>
        <w:t>速时代广场C1栋</w:t>
      </w:r>
      <w:r>
        <w:rPr>
          <w:rFonts w:hint="eastAsia" w:ascii="宋体" w:hAnsi="宋体" w:eastAsia="宋体" w:cs="宋体"/>
          <w:kern w:val="2"/>
          <w:sz w:val="21"/>
          <w:szCs w:val="21"/>
          <w:lang w:val="en-US" w:eastAsia="zh-CN"/>
        </w:rPr>
        <w:t>1008室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 系 人：</w:t>
      </w:r>
      <w:r>
        <w:rPr>
          <w:rFonts w:hint="eastAsia" w:ascii="宋体" w:hAnsi="宋体" w:eastAsia="宋体" w:cs="宋体"/>
          <w:sz w:val="21"/>
          <w:szCs w:val="21"/>
          <w:u w:val="single"/>
          <w:lang w:val="en-US" w:eastAsia="zh-CN"/>
        </w:rPr>
        <w:t xml:space="preserve">     周工、方工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电    话：</w:t>
      </w:r>
      <w:r>
        <w:rPr>
          <w:rFonts w:hint="eastAsia" w:ascii="宋体" w:hAnsi="宋体" w:eastAsia="宋体" w:cs="宋体"/>
          <w:sz w:val="21"/>
          <w:szCs w:val="21"/>
          <w:u w:val="single"/>
          <w:lang w:val="en-US" w:eastAsia="zh-CN"/>
        </w:rPr>
        <w:t xml:space="preserve">   15855127123、15256002215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30"/>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pPr>
        <w:pStyle w:val="30"/>
        <w:jc w:val="righ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2023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10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30 </w:t>
      </w:r>
      <w:r>
        <w:rPr>
          <w:rFonts w:hint="eastAsia" w:ascii="宋体" w:hAnsi="宋体" w:eastAsia="宋体" w:cs="宋体"/>
          <w:color w:val="auto"/>
          <w:sz w:val="21"/>
          <w:szCs w:val="21"/>
          <w:highlight w:val="none"/>
        </w:rPr>
        <w:t>日</w:t>
      </w:r>
    </w:p>
    <w:p>
      <w:pPr>
        <w:rPr>
          <w:rFonts w:ascii="Times New Roman" w:hAnsi="Times New Roman" w:cs="Times New Roman"/>
          <w:sz w:val="24"/>
          <w:szCs w:val="28"/>
        </w:rPr>
      </w:pPr>
    </w:p>
    <w:p>
      <w:pPr>
        <w:rPr>
          <w:rFonts w:ascii="Times New Roman" w:hAnsi="Times New Roman" w:cs="Times New Roman"/>
          <w:sz w:val="24"/>
          <w:szCs w:val="28"/>
        </w:rPr>
      </w:pPr>
      <w:r>
        <w:rPr>
          <w:rFonts w:ascii="Times New Roman" w:hAnsi="Times New Roman" w:cs="Times New Roman"/>
          <w:sz w:val="24"/>
          <w:szCs w:val="28"/>
        </w:rPr>
        <w:br w:type="page"/>
      </w:r>
    </w:p>
    <w:p>
      <w:pPr>
        <w:pStyle w:val="3"/>
        <w:spacing w:before="312" w:after="312"/>
        <w:rPr>
          <w:rFonts w:ascii="Times New Roman" w:hAnsi="Times New Roman" w:eastAsia="宋体" w:cs="Times New Roman"/>
        </w:rPr>
      </w:pPr>
      <w:bookmarkStart w:id="43" w:name="_Toc26240"/>
      <w:r>
        <w:rPr>
          <w:rFonts w:ascii="Times New Roman" w:hAnsi="Times New Roman" w:eastAsia="宋体" w:cs="Times New Roman"/>
        </w:rPr>
        <w:t>供应商须知</w:t>
      </w:r>
      <w:bookmarkEnd w:id="43"/>
    </w:p>
    <w:p>
      <w:pPr>
        <w:spacing w:line="440" w:lineRule="exact"/>
        <w:jc w:val="center"/>
        <w:outlineLvl w:val="1"/>
        <w:rPr>
          <w:rFonts w:ascii="Times New Roman" w:hAnsi="Times New Roman" w:eastAsia="黑体" w:cs="Times New Roman"/>
          <w:sz w:val="28"/>
          <w:szCs w:val="28"/>
        </w:rPr>
      </w:pPr>
      <w:bookmarkStart w:id="44" w:name="_Toc29381_WPSOffice_Level2"/>
      <w:bookmarkStart w:id="45" w:name="_Toc55466811"/>
      <w:bookmarkStart w:id="46" w:name="_Toc16069"/>
      <w:bookmarkStart w:id="47" w:name="_Toc19501"/>
      <w:bookmarkStart w:id="48" w:name="_Toc26656928"/>
      <w:r>
        <w:rPr>
          <w:rFonts w:ascii="Times New Roman" w:hAnsi="Times New Roman" w:eastAsia="黑体" w:cs="Times New Roman"/>
          <w:sz w:val="28"/>
          <w:szCs w:val="28"/>
        </w:rPr>
        <w:t>供应商须知前附表</w:t>
      </w:r>
      <w:bookmarkEnd w:id="44"/>
      <w:bookmarkEnd w:id="45"/>
      <w:bookmarkEnd w:id="46"/>
      <w:bookmarkEnd w:id="47"/>
      <w:bookmarkEnd w:id="48"/>
    </w:p>
    <w:tbl>
      <w:tblPr>
        <w:tblStyle w:val="19"/>
        <w:tblW w:w="9181" w:type="dxa"/>
        <w:tblInd w:w="0" w:type="dxa"/>
        <w:tblLayout w:type="fixed"/>
        <w:tblCellMar>
          <w:top w:w="0" w:type="dxa"/>
          <w:left w:w="108" w:type="dxa"/>
          <w:bottom w:w="0" w:type="dxa"/>
          <w:right w:w="108" w:type="dxa"/>
        </w:tblCellMar>
      </w:tblPr>
      <w:tblGrid>
        <w:gridCol w:w="1000"/>
        <w:gridCol w:w="2572"/>
        <w:gridCol w:w="5609"/>
      </w:tblGrid>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257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rPr>
            </w:pPr>
            <w:r>
              <w:rPr>
                <w:rFonts w:ascii="Times New Roman" w:hAnsi="Times New Roman" w:eastAsia="宋体" w:cs="Times New Roman"/>
                <w:b/>
                <w:szCs w:val="21"/>
              </w:rPr>
              <w:t>编  列  内  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满足国家最新颁布的质量技术标准和本项目的特殊要求。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1.2.2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见第一章 采购公告/采购邀请书要求。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1.2.3</w:t>
            </w:r>
          </w:p>
        </w:tc>
        <w:tc>
          <w:tcPr>
            <w:tcW w:w="2572" w:type="dxa"/>
            <w:tcBorders>
              <w:top w:val="single" w:color="auto" w:sz="4" w:space="0"/>
              <w:left w:val="single" w:color="auto" w:sz="4" w:space="0"/>
              <w:bottom w:val="single" w:color="auto" w:sz="4" w:space="0"/>
              <w:right w:val="single" w:color="auto" w:sz="4" w:space="0"/>
            </w:tcBorders>
            <w:vAlign w:val="center"/>
          </w:tcPr>
          <w:p>
            <w:pPr>
              <w:ind w:left="105" w:leftChars="50"/>
              <w:jc w:val="center"/>
              <w:rPr>
                <w:rFonts w:hint="eastAsia" w:ascii="Times New Roman" w:hAnsi="Times New Roman" w:eastAsia="宋体" w:cs="Times New Roman"/>
                <w:szCs w:val="21"/>
              </w:rPr>
            </w:pPr>
            <w:r>
              <w:rPr>
                <w:rFonts w:hint="eastAsia" w:ascii="Times New Roman" w:hAnsi="Times New Roman" w:eastAsia="宋体" w:cs="Times New Roman"/>
                <w:szCs w:val="21"/>
                <w:lang w:eastAsia="zh-CN"/>
              </w:rPr>
              <w:t>供应商</w:t>
            </w:r>
            <w:r>
              <w:rPr>
                <w:rFonts w:hint="eastAsia" w:ascii="Times New Roman" w:hAnsi="Times New Roman" w:eastAsia="宋体" w:cs="Times New Roman"/>
                <w:szCs w:val="21"/>
              </w:rPr>
              <w:t>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资质条件：见附录1</w:t>
            </w:r>
          </w:p>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业绩要求：见附录2</w:t>
            </w:r>
          </w:p>
          <w:p>
            <w:pPr>
              <w:widowControl/>
              <w:spacing w:line="480" w:lineRule="exact"/>
              <w:jc w:val="left"/>
              <w:rPr>
                <w:rFonts w:hint="eastAsia" w:ascii="Times New Roman" w:hAnsi="Times New Roman" w:eastAsia="宋体" w:cs="Times New Roman"/>
                <w:kern w:val="0"/>
                <w:szCs w:val="21"/>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信誉要求：见附录3</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1.2.4</w:t>
            </w:r>
          </w:p>
        </w:tc>
        <w:tc>
          <w:tcPr>
            <w:tcW w:w="2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是否接受联合体投标</w:t>
            </w:r>
          </w:p>
        </w:tc>
        <w:tc>
          <w:tcPr>
            <w:tcW w:w="5609"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rPr>
                <w:rFonts w:hint="eastAsia" w:ascii="Times New Roman" w:hAnsi="Times New Roman" w:eastAsia="宋体" w:cs="Times New Roman"/>
                <w:kern w:val="0"/>
                <w:szCs w:val="21"/>
              </w:rPr>
            </w:pPr>
            <w:r>
              <w:rPr>
                <w:rFonts w:hint="eastAsia" w:ascii="Times New Roman" w:hAnsi="Times New Roman" w:eastAsia="宋体" w:cs="Times New Roman"/>
                <w:szCs w:val="21"/>
              </w:rPr>
              <w:t>不接受</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4</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highlight w:val="none"/>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单价</w:t>
            </w:r>
          </w:p>
          <w:p>
            <w:pPr>
              <w:spacing w:line="480" w:lineRule="exact"/>
              <w:rPr>
                <w:rFonts w:ascii="Times New Roman" w:hAnsi="Times New Roman" w:eastAsia="宋体" w:cs="Times New Roman"/>
                <w:szCs w:val="21"/>
              </w:rPr>
            </w:pPr>
            <w:r>
              <w:rPr>
                <w:rFonts w:hint="eastAsia"/>
                <w:lang w:eastAsia="zh-CN"/>
              </w:rPr>
              <w:t>□</w:t>
            </w:r>
            <w:r>
              <w:rPr>
                <w:rFonts w:hint="eastAsia" w:ascii="Times New Roman" w:hAnsi="Times New Roman" w:eastAsia="宋体" w:cs="Times New Roman"/>
                <w:szCs w:val="21"/>
              </w:rPr>
              <w:t>固定</w:t>
            </w:r>
            <w:r>
              <w:rPr>
                <w:rFonts w:ascii="Times New Roman" w:hAnsi="Times New Roman" w:eastAsia="宋体" w:cs="Times New Roman"/>
                <w:szCs w:val="21"/>
              </w:rPr>
              <w:t>总价</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5</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3.4.4</w:t>
            </w:r>
            <w:r>
              <w:rPr>
                <w:rFonts w:hint="eastAsia" w:ascii="Times New Roman" w:hAnsi="Times New Roman" w:eastAsia="宋体" w:cs="Times New Roman"/>
                <w:szCs w:val="21"/>
              </w:rPr>
              <w:t>（3）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cs="Times New Roman"/>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eastAsia" w:ascii="宋体" w:hAnsi="宋体" w:eastAsia="宋体" w:cs="宋体"/>
                <w:sz w:val="22"/>
                <w:szCs w:val="22"/>
              </w:rPr>
              <w:t>报</w:t>
            </w:r>
            <w:r>
              <w:rPr>
                <w:rFonts w:hint="eastAsia" w:ascii="宋体" w:hAnsi="宋体" w:eastAsia="宋体" w:cs="宋体"/>
                <w:sz w:val="21"/>
                <w:szCs w:val="21"/>
              </w:rPr>
              <w:t>价方出现以下情形的，其询价响应保证金将不予退还：</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报价方在规定的响应有效期内撤销其响应文件</w:t>
            </w:r>
            <w:r>
              <w:rPr>
                <w:rFonts w:hint="eastAsia" w:ascii="宋体" w:hAnsi="宋体" w:eastAsia="宋体" w:cs="宋体"/>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成交候选方无正当理由放弃成交资格的；或成交方无正当理由不与采购人签订合同的；或成交方在签订合同时向采购方提出附加条件或者更改合同实质性内容的；询价响应保证金按违约予以全额扣除。</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Times New Roman" w:hAnsi="Times New Roman" w:eastAsia="宋体" w:cs="Times New Roman"/>
                <w:szCs w:val="21"/>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w:t>
            </w:r>
            <w:r>
              <w:rPr>
                <w:rFonts w:hint="eastAsia" w:ascii="宋体" w:hAnsi="宋体" w:eastAsia="宋体" w:cs="宋体"/>
                <w:sz w:val="21"/>
                <w:szCs w:val="21"/>
              </w:rPr>
              <w:t>供应商存在以他人名义报价、与他人串通报价、以行贿手段谋取成交、弄虚作假等行为。</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3.6.3（2）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rPr>
            </w:pPr>
            <w:r>
              <w:rPr>
                <w:rFonts w:hint="eastAsia" w:ascii="Times New Roman" w:hAnsi="Times New Roman" w:cs="Times New Roman"/>
              </w:rPr>
              <w:t>响应文件副本份数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highlight w:val="yellow"/>
                <w:u w:val="single"/>
              </w:rPr>
            </w:pPr>
            <w:r>
              <w:rPr>
                <w:rFonts w:hint="eastAsia" w:ascii="Times New Roman" w:hAnsi="Times New Roman" w:cs="Times New Roman"/>
                <w:highlight w:val="none"/>
              </w:rPr>
              <w:t>响应文件应</w:t>
            </w:r>
            <w:r>
              <w:rPr>
                <w:rFonts w:hint="eastAsia" w:ascii="Times New Roman" w:hAnsi="Times New Roman" w:cs="Times New Roman"/>
                <w:b w:val="0"/>
                <w:bCs w:val="0"/>
                <w:highlight w:val="none"/>
              </w:rPr>
              <w:t>胶装成册</w:t>
            </w:r>
            <w:r>
              <w:rPr>
                <w:rFonts w:hint="eastAsia" w:ascii="Times New Roman" w:hAnsi="Times New Roman" w:cs="Times New Roman"/>
                <w:b/>
                <w:bCs/>
                <w:highlight w:val="none"/>
              </w:rPr>
              <w:t>，</w:t>
            </w:r>
            <w:r>
              <w:rPr>
                <w:rFonts w:ascii="Times New Roman" w:hAnsi="Times New Roman" w:cs="Times New Roman"/>
                <w:highlight w:val="none"/>
              </w:rPr>
              <w:t>正</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副本各</w:t>
            </w:r>
            <w:r>
              <w:rPr>
                <w:rFonts w:ascii="Times New Roman" w:hAnsi="Times New Roman" w:cs="Times New Roman"/>
                <w:highlight w:val="none"/>
              </w:rPr>
              <w:t>一份。</w:t>
            </w:r>
            <w:r>
              <w:rPr>
                <w:rFonts w:hint="eastAsia" w:ascii="Times New Roman" w:hAnsi="Times New Roman" w:cs="Times New Roman"/>
                <w:highlight w:val="none"/>
                <w:lang w:val="en-US" w:eastAsia="zh-CN"/>
              </w:rPr>
              <w:t>正副本内容不一致时，以正本为准。</w:t>
            </w:r>
          </w:p>
        </w:tc>
      </w:tr>
      <w:tr>
        <w:tblPrEx>
          <w:tblCellMar>
            <w:top w:w="0" w:type="dxa"/>
            <w:left w:w="108" w:type="dxa"/>
            <w:bottom w:w="0" w:type="dxa"/>
            <w:right w:w="108" w:type="dxa"/>
          </w:tblCellMar>
        </w:tblPrEx>
        <w:trPr>
          <w:trHeight w:val="567"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r>
              <w:rPr>
                <w:rFonts w:hint="eastAsia" w:ascii="Times New Roman" w:hAnsi="Times New Roman" w:cs="Times New Roman"/>
                <w:lang w:val="en-US" w:eastAsia="zh-CN"/>
              </w:rPr>
              <w:t>4.1</w:t>
            </w:r>
          </w:p>
        </w:tc>
        <w:tc>
          <w:tcPr>
            <w:tcW w:w="2572"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r>
              <w:rPr>
                <w:rFonts w:hint="eastAsia" w:ascii="Times New Roman" w:hAnsi="Times New Roman" w:cs="Times New Roman"/>
                <w:b/>
                <w:bCs/>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imes New Roman" w:hAnsi="Times New Roman" w:cs="Times New Roman"/>
                <w:highlight w:val="yellow"/>
              </w:rPr>
            </w:pPr>
            <w:r>
              <w:rPr>
                <w:rFonts w:ascii="Times New Roman" w:hAnsi="Times New Roman" w:cs="Times New Roman"/>
              </w:rPr>
              <w:t>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80" w:lineRule="exact"/>
              <w:rPr>
                <w:rFonts w:hint="eastAsia" w:ascii="Times New Roman" w:hAnsi="Times New Roman" w:cs="Times New Roman"/>
                <w:highlight w:val="yellow"/>
              </w:rPr>
            </w:pP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hint="eastAsia" w:ascii="Times New Roman" w:hAnsi="Times New Roman" w:cs="Times New Roman"/>
                <w:highlight w:val="yellow"/>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tc>
      </w:tr>
      <w:tr>
        <w:tblPrEx>
          <w:tblCellMar>
            <w:top w:w="0" w:type="dxa"/>
            <w:left w:w="108" w:type="dxa"/>
            <w:bottom w:w="0" w:type="dxa"/>
            <w:right w:w="108" w:type="dxa"/>
          </w:tblCellMar>
        </w:tblPrEx>
        <w:trPr>
          <w:trHeight w:val="653"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5.2.1（3）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hint="eastAsia" w:ascii="Times New Roman" w:hAnsi="Times New Roman" w:eastAsia="宋体" w:cs="Times New Roman"/>
                <w:szCs w:val="21"/>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rPr>
            </w:pPr>
            <w:r>
              <w:rPr>
                <w:rFonts w:hint="eastAsia" w:ascii="Times New Roman" w:hAnsi="Times New Roman" w:eastAsia="宋体" w:cs="Times New Roman"/>
                <w:szCs w:val="21"/>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7.4.1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rPr>
            </w:pPr>
            <w:r>
              <w:rPr>
                <w:rFonts w:ascii="Times New Roman" w:hAnsi="Times New Roman" w:eastAsia="宋体" w:cs="Times New Roman"/>
                <w:szCs w:val="21"/>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（1）中标后，响应保证金自动转为履约保证金。</w:t>
            </w:r>
          </w:p>
          <w:p>
            <w:pPr>
              <w:snapToGrid w:val="0"/>
              <w:spacing w:line="480" w:lineRule="exact"/>
            </w:pPr>
            <w:r>
              <w:rPr>
                <w:rFonts w:hint="eastAsia" w:ascii="宋体" w:hAnsi="宋体" w:eastAsia="宋体" w:cs="宋体"/>
                <w:kern w:val="2"/>
                <w:sz w:val="21"/>
                <w:szCs w:val="21"/>
                <w:highlight w:val="none"/>
                <w:lang w:val="en-US" w:eastAsia="zh-CN" w:bidi="ar-SA"/>
              </w:rPr>
              <w:t>（2）履约保证金退还时间：该项目物资供应整体验收完成后28天内。</w:t>
            </w:r>
          </w:p>
        </w:tc>
      </w:tr>
      <w:tr>
        <w:tblPrEx>
          <w:tblCellMar>
            <w:top w:w="0" w:type="dxa"/>
            <w:left w:w="108" w:type="dxa"/>
            <w:bottom w:w="0" w:type="dxa"/>
            <w:right w:w="108" w:type="dxa"/>
          </w:tblCellMar>
        </w:tblPrEx>
        <w:trPr>
          <w:trHeight w:val="567"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需要补充的其他内容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ind w:firstLine="420" w:firstLineChars="200"/>
              <w:rPr>
                <w:rFonts w:hint="eastAsia"/>
                <w:lang w:val="en-US" w:eastAsia="zh-CN"/>
              </w:rPr>
            </w:pPr>
            <w:r>
              <w:rPr>
                <w:rFonts w:hint="eastAsia"/>
                <w:lang w:val="en-US" w:eastAsia="zh-CN"/>
              </w:rPr>
              <w:t>投标人或其他利害关系人对评标结果有异议的，应以书面形式提出，异议材料应包括：</w:t>
            </w:r>
          </w:p>
          <w:p>
            <w:pPr>
              <w:snapToGrid w:val="0"/>
              <w:spacing w:line="480" w:lineRule="exact"/>
              <w:rPr>
                <w:rFonts w:hint="eastAsia"/>
                <w:lang w:val="en-US" w:eastAsia="zh-CN"/>
              </w:rPr>
            </w:pPr>
            <w:r>
              <w:rPr>
                <w:rFonts w:hint="eastAsia"/>
                <w:lang w:val="en-US" w:eastAsia="zh-CN"/>
              </w:rPr>
              <w:t>（1）异议人的名称、地址及有效联系方式；</w:t>
            </w:r>
          </w:p>
          <w:p>
            <w:pPr>
              <w:snapToGrid w:val="0"/>
              <w:spacing w:line="480" w:lineRule="exact"/>
              <w:rPr>
                <w:rFonts w:hint="eastAsia"/>
                <w:lang w:val="en-US" w:eastAsia="zh-CN"/>
              </w:rPr>
            </w:pPr>
            <w:r>
              <w:rPr>
                <w:rFonts w:hint="eastAsia"/>
                <w:lang w:val="en-US" w:eastAsia="zh-CN"/>
              </w:rPr>
              <w:t>（2）异议事项的基本事实；</w:t>
            </w:r>
          </w:p>
          <w:p>
            <w:pPr>
              <w:snapToGrid w:val="0"/>
              <w:spacing w:line="480" w:lineRule="exact"/>
              <w:rPr>
                <w:rFonts w:hint="eastAsia"/>
                <w:lang w:val="en-US" w:eastAsia="zh-CN"/>
              </w:rPr>
            </w:pPr>
            <w:r>
              <w:rPr>
                <w:rFonts w:hint="eastAsia"/>
                <w:lang w:val="en-US" w:eastAsia="zh-CN"/>
              </w:rPr>
              <w:t>（3）有效线索和相关证明材料。</w:t>
            </w:r>
          </w:p>
          <w:p>
            <w:pPr>
              <w:snapToGrid w:val="0"/>
              <w:spacing w:line="480" w:lineRule="exact"/>
              <w:ind w:firstLine="420" w:firstLineChars="200"/>
              <w:rPr>
                <w:rFonts w:hint="eastAsia" w:ascii="Times New Roman" w:hAnsi="Times New Roman" w:eastAsia="宋体" w:cs="Times New Roman"/>
                <w:szCs w:val="21"/>
                <w:lang w:val="en-US" w:eastAsia="zh-CN"/>
              </w:rPr>
            </w:pPr>
            <w:r>
              <w:rPr>
                <w:rFonts w:hint="eastAsia"/>
                <w:lang w:val="en-US" w:eastAsia="zh-CN"/>
              </w:rPr>
              <w:t>异议人是法人的，异议材料必须由其法定代表人或者授权代表签字并盖章；其他组织或者个人提出异议的，异议材料必须由其主要负责人或者异议本人签字，并附有效身份证明复印件。</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b/>
                <w:bCs/>
                <w:szCs w:val="21"/>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both"/>
              <w:textAlignment w:val="top"/>
              <w:rPr>
                <w:rFonts w:hint="eastAsia"/>
                <w:lang w:val="en-US" w:eastAsia="zh-CN"/>
              </w:rPr>
            </w:pPr>
            <w:r>
              <w:rPr>
                <w:rFonts w:hint="eastAsia"/>
                <w:lang w:val="en-US" w:eastAsia="zh-CN"/>
              </w:rPr>
              <w:t>1.本项目后期有可能涉及部分货物的局部或尺寸的细微调整，需进行优化设计，投标单位在投标报价时应充分考虑此部分的费用，根据自身因素、综合条件、市场风险自行报价，中标后不予调整。</w:t>
            </w:r>
          </w:p>
          <w:p>
            <w:pPr>
              <w:pStyle w:val="2"/>
              <w:spacing w:line="360" w:lineRule="auto"/>
              <w:ind w:firstLine="420" w:firstLineChars="200"/>
              <w:rPr>
                <w:rFonts w:hint="default" w:cstheme="minorBidi"/>
                <w:b/>
                <w:bCs/>
                <w:kern w:val="2"/>
                <w:sz w:val="21"/>
                <w:szCs w:val="24"/>
                <w:lang w:val="en-US" w:eastAsia="zh-CN" w:bidi="ar-SA"/>
              </w:rPr>
            </w:pPr>
            <w:r>
              <w:rPr>
                <w:rFonts w:hint="eastAsia" w:cstheme="minorBidi"/>
                <w:b/>
                <w:bCs/>
                <w:kern w:val="2"/>
                <w:sz w:val="21"/>
                <w:szCs w:val="24"/>
                <w:lang w:val="en-US" w:eastAsia="zh-CN" w:bidi="ar-SA"/>
              </w:rPr>
              <w:t>2</w:t>
            </w:r>
            <w:r>
              <w:rPr>
                <w:rFonts w:hint="eastAsia" w:asciiTheme="minorHAnsi" w:hAnsiTheme="minorHAnsi" w:eastAsiaTheme="minorEastAsia" w:cstheme="minorBidi"/>
                <w:b/>
                <w:bCs/>
                <w:kern w:val="2"/>
                <w:sz w:val="21"/>
                <w:szCs w:val="24"/>
                <w:lang w:val="en-US" w:eastAsia="zh-CN" w:bidi="ar-SA"/>
              </w:rPr>
              <w:t>.报价完全考虑</w:t>
            </w:r>
            <w:r>
              <w:rPr>
                <w:rFonts w:hint="eastAsia" w:cstheme="minorBidi"/>
                <w:b/>
                <w:bCs/>
                <w:kern w:val="2"/>
                <w:sz w:val="21"/>
                <w:szCs w:val="24"/>
                <w:lang w:val="en-US" w:eastAsia="zh-CN" w:bidi="ar-SA"/>
              </w:rPr>
              <w:t>报价</w:t>
            </w:r>
            <w:r>
              <w:rPr>
                <w:rFonts w:hint="eastAsia" w:asciiTheme="minorHAnsi" w:hAnsiTheme="minorHAnsi" w:eastAsiaTheme="minorEastAsia" w:cstheme="minorBidi"/>
                <w:b/>
                <w:bCs/>
                <w:kern w:val="2"/>
                <w:sz w:val="21"/>
                <w:szCs w:val="24"/>
                <w:lang w:val="en-US" w:eastAsia="zh-CN" w:bidi="ar-SA"/>
              </w:rPr>
              <w:t>清单</w:t>
            </w:r>
            <w:r>
              <w:rPr>
                <w:rFonts w:hint="eastAsia" w:cstheme="minorBidi"/>
                <w:b/>
                <w:bCs/>
                <w:kern w:val="2"/>
                <w:sz w:val="21"/>
                <w:szCs w:val="24"/>
                <w:lang w:val="en-US" w:eastAsia="zh-CN" w:bidi="ar-SA"/>
              </w:rPr>
              <w:t>要求</w:t>
            </w:r>
            <w:r>
              <w:rPr>
                <w:rFonts w:hint="eastAsia" w:asciiTheme="minorHAnsi" w:hAnsiTheme="minorHAnsi" w:eastAsiaTheme="minorEastAsia" w:cstheme="minorBidi"/>
                <w:b/>
                <w:bCs/>
                <w:kern w:val="2"/>
                <w:sz w:val="21"/>
                <w:szCs w:val="24"/>
                <w:lang w:val="en-US" w:eastAsia="zh-CN" w:bidi="ar-SA"/>
              </w:rPr>
              <w:t>内容</w:t>
            </w:r>
            <w:r>
              <w:rPr>
                <w:rFonts w:hint="eastAsia" w:cstheme="minorBidi"/>
                <w:b/>
                <w:bCs/>
                <w:kern w:val="2"/>
                <w:sz w:val="21"/>
                <w:szCs w:val="24"/>
                <w:lang w:val="en-US" w:eastAsia="zh-CN" w:bidi="ar-SA"/>
              </w:rPr>
              <w:t>，含清单内要求的品牌，材质，工艺，辅材等。</w:t>
            </w:r>
          </w:p>
          <w:p>
            <w:pPr>
              <w:spacing w:line="360" w:lineRule="auto"/>
              <w:ind w:firstLine="420" w:firstLineChars="200"/>
              <w:rPr>
                <w:rFonts w:hint="default" w:ascii="Times New Roman" w:eastAsia="宋体"/>
                <w:b/>
                <w:bCs/>
                <w:lang w:val="en-US" w:eastAsia="zh-CN"/>
              </w:rPr>
            </w:pPr>
            <w:r>
              <w:rPr>
                <w:rFonts w:hint="eastAsia" w:cstheme="minorBidi"/>
                <w:b/>
                <w:bCs/>
                <w:kern w:val="2"/>
                <w:sz w:val="21"/>
                <w:szCs w:val="24"/>
                <w:lang w:val="en-US" w:eastAsia="zh-CN" w:bidi="ar-SA"/>
              </w:rPr>
              <w:t>3.</w:t>
            </w:r>
            <w:r>
              <w:rPr>
                <w:rFonts w:hint="eastAsia" w:ascii="Times New Roman" w:eastAsia="宋体"/>
                <w:b/>
                <w:bCs/>
                <w:lang w:val="en-US" w:eastAsia="zh-CN"/>
              </w:rPr>
              <w:t>异常低价或不平衡报价，采购人有权做废标处理。</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9.3</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420" w:firstLineChars="200"/>
              <w:rPr>
                <w:rFonts w:hint="eastAsia" w:ascii="Times New Roman" w:hAnsi="Times New Roman" w:eastAsia="宋体" w:cs="Times New Roman"/>
                <w:szCs w:val="21"/>
                <w:lang w:val="en-US" w:eastAsia="zh-CN"/>
              </w:rPr>
            </w:pPr>
            <w:r>
              <w:rPr>
                <w:rFonts w:hint="eastAsia"/>
                <w:lang w:val="en-US" w:eastAsia="zh-CN"/>
              </w:rPr>
              <w:t>供货方按合同约定的交货地点交货后安装完毕并投入使用，由使用单位或合同签订单位进行设备验收检测（如需），如设备验收检测合格，产生的检测费用由使用单位或合同签订单位支付；如设备验收检测不合格，产生的检测费用由供货方支付并对不合格设备进行维修或更换，若造成损失供货方将进行赔偿，甚至追究违约责任。</w:t>
            </w:r>
          </w:p>
        </w:tc>
      </w:tr>
    </w:tbl>
    <w:p>
      <w:r>
        <w:rPr>
          <w:rFonts w:hint="eastAsia" w:ascii="Times New Roman" w:hAnsi="Times New Roman" w:cs="Times New Roman"/>
          <w:szCs w:val="21"/>
        </w:rPr>
        <w:t>注：供应商须知正文</w:t>
      </w:r>
      <w:r>
        <w:rPr>
          <w:rFonts w:ascii="Times New Roman" w:hAnsi="Times New Roman" w:cs="Times New Roman"/>
          <w:szCs w:val="21"/>
        </w:rPr>
        <w:t>与前附表</w:t>
      </w:r>
      <w:r>
        <w:rPr>
          <w:rFonts w:hint="eastAsia" w:ascii="Times New Roman" w:hAnsi="Times New Roman" w:cs="Times New Roman"/>
          <w:szCs w:val="21"/>
        </w:rPr>
        <w:t>内容</w:t>
      </w:r>
      <w:r>
        <w:rPr>
          <w:rFonts w:ascii="Times New Roman" w:hAnsi="Times New Roman" w:cs="Times New Roman"/>
          <w:szCs w:val="21"/>
        </w:rPr>
        <w:t>不一致</w:t>
      </w:r>
      <w:r>
        <w:rPr>
          <w:rFonts w:hint="eastAsia" w:ascii="Times New Roman" w:hAnsi="Times New Roman" w:cs="Times New Roman"/>
          <w:szCs w:val="21"/>
        </w:rPr>
        <w:t>时</w:t>
      </w:r>
      <w:r>
        <w:rPr>
          <w:rFonts w:ascii="Times New Roman" w:hAnsi="Times New Roman" w:cs="Times New Roman"/>
          <w:szCs w:val="21"/>
        </w:rPr>
        <w:t>，以供应商</w:t>
      </w:r>
      <w:r>
        <w:rPr>
          <w:rFonts w:hint="eastAsia" w:ascii="Times New Roman" w:hAnsi="Times New Roman" w:cs="Times New Roman"/>
          <w:szCs w:val="21"/>
        </w:rPr>
        <w:t>须知</w:t>
      </w:r>
      <w:r>
        <w:rPr>
          <w:rFonts w:ascii="Times New Roman" w:hAnsi="Times New Roman" w:cs="Times New Roman"/>
          <w:szCs w:val="21"/>
        </w:rPr>
        <w:t>前附表</w:t>
      </w:r>
      <w:r>
        <w:rPr>
          <w:rFonts w:hint="eastAsia" w:ascii="Times New Roman" w:hAnsi="Times New Roman" w:cs="Times New Roman"/>
          <w:szCs w:val="21"/>
        </w:rPr>
        <w:t>的</w:t>
      </w:r>
      <w:r>
        <w:rPr>
          <w:rFonts w:ascii="Times New Roman" w:hAnsi="Times New Roman" w:cs="Times New Roman"/>
          <w:szCs w:val="21"/>
        </w:rPr>
        <w:t>内容为准</w:t>
      </w:r>
      <w:r>
        <w:rPr>
          <w:rFonts w:hint="eastAsia" w:ascii="Times New Roman" w:hAnsi="Times New Roman" w:cs="Times New Roman"/>
          <w:szCs w:val="21"/>
        </w:rPr>
        <w:t>。</w:t>
      </w:r>
    </w:p>
    <w:p>
      <w:pPr>
        <w:rPr>
          <w:rFonts w:ascii="Times New Roman" w:hAnsi="Times New Roman" w:eastAsia="黑体" w:cs="Times New Roman"/>
          <w:bCs/>
          <w:sz w:val="24"/>
          <w:szCs w:val="32"/>
        </w:rPr>
      </w:pPr>
      <w:bookmarkStart w:id="49" w:name="_Toc9067720"/>
      <w:bookmarkStart w:id="50" w:name="_Toc26656938"/>
      <w:bookmarkStart w:id="51" w:name="_Toc14201207"/>
      <w:r>
        <w:rPr>
          <w:rFonts w:ascii="Times New Roman" w:hAnsi="Times New Roman" w:eastAsia="黑体" w:cs="Times New Roman"/>
          <w:bCs/>
          <w:sz w:val="24"/>
          <w:szCs w:val="32"/>
        </w:rPr>
        <w:br w:type="page"/>
      </w:r>
    </w:p>
    <w:p>
      <w:pPr>
        <w:jc w:val="center"/>
        <w:rPr>
          <w:highlight w:val="none"/>
        </w:rPr>
      </w:pPr>
      <w:r>
        <w:rPr>
          <w:rFonts w:hint="eastAsia" w:ascii="黑体" w:eastAsia="黑体"/>
          <w:sz w:val="24"/>
          <w:szCs w:val="24"/>
          <w:highlight w:val="none"/>
        </w:rPr>
        <w:t>附录1 资格审查条件（资质最低条件）</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72" w:type="dxa"/>
            <w:noWrap w:val="0"/>
            <w:vAlign w:val="center"/>
          </w:tcPr>
          <w:p>
            <w:pPr>
              <w:jc w:val="center"/>
              <w:rPr>
                <w:sz w:val="22"/>
                <w:szCs w:val="22"/>
                <w:highlight w:val="none"/>
              </w:rPr>
            </w:pPr>
            <w:r>
              <w:rPr>
                <w:rFonts w:hint="eastAsia"/>
                <w:sz w:val="22"/>
                <w:szCs w:val="22"/>
                <w:highlight w:val="none"/>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noWrap w:val="0"/>
            <w:vAlign w:val="center"/>
          </w:tcPr>
          <w:p>
            <w:pPr>
              <w:jc w:val="center"/>
              <w:rPr>
                <w:rFonts w:hint="eastAsia"/>
                <w:sz w:val="22"/>
                <w:szCs w:val="22"/>
                <w:highlight w:val="none"/>
              </w:rPr>
            </w:pPr>
            <w:r>
              <w:rPr>
                <w:rFonts w:hint="eastAsia"/>
                <w:sz w:val="21"/>
                <w:szCs w:val="21"/>
                <w:highlight w:val="none"/>
              </w:rPr>
              <w:t>投标人为独立法人资格，持有有效营业执照的供应商</w:t>
            </w:r>
            <w:r>
              <w:rPr>
                <w:rFonts w:hint="eastAsia" w:ascii="宋体" w:hAnsi="宋体" w:cs="宋体"/>
                <w:sz w:val="21"/>
                <w:szCs w:val="21"/>
                <w:highlight w:val="none"/>
              </w:rPr>
              <w:t>。</w:t>
            </w:r>
          </w:p>
        </w:tc>
      </w:tr>
    </w:tbl>
    <w:p>
      <w:pPr>
        <w:tabs>
          <w:tab w:val="left" w:pos="400"/>
        </w:tabs>
        <w:overflowPunct w:val="0"/>
        <w:adjustRightInd w:val="0"/>
        <w:snapToGrid w:val="0"/>
        <w:ind w:firstLine="480" w:firstLineChars="200"/>
        <w:rPr>
          <w:rFonts w:hint="eastAsia" w:ascii="华文楷体" w:hAnsi="华文楷体" w:eastAsia="华文楷体" w:cs="华文楷体"/>
          <w:sz w:val="24"/>
          <w:szCs w:val="24"/>
          <w:highlight w:val="none"/>
        </w:rPr>
      </w:pPr>
    </w:p>
    <w:p>
      <w:pPr>
        <w:pStyle w:val="2"/>
        <w:rPr>
          <w:rFonts w:hint="eastAsia"/>
          <w:highlight w:val="none"/>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rPr>
        <w:t>2</w:t>
      </w:r>
      <w:r>
        <w:rPr>
          <w:rFonts w:hint="eastAsia" w:ascii="黑体" w:eastAsia="黑体"/>
          <w:sz w:val="24"/>
          <w:szCs w:val="24"/>
          <w:highlight w:val="none"/>
        </w:rPr>
        <w:t xml:space="preserve"> 资格审查条件（业绩最低要求）</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2" w:type="dxa"/>
            <w:noWrap w:val="0"/>
            <w:vAlign w:val="center"/>
          </w:tcPr>
          <w:p>
            <w:pPr>
              <w:snapToGrid w:val="0"/>
              <w:jc w:val="center"/>
              <w:rPr>
                <w:rFonts w:hAnsi="宋体"/>
                <w:sz w:val="22"/>
                <w:szCs w:val="22"/>
                <w:highlight w:val="none"/>
              </w:rPr>
            </w:pPr>
            <w:r>
              <w:rPr>
                <w:rFonts w:hint="eastAsia"/>
                <w:lang w:val="en-US" w:eastAsia="zh-CN"/>
              </w:rPr>
              <w:t>至少提供1个自2020年10月1日以来，单项合</w:t>
            </w:r>
            <w:r>
              <w:rPr>
                <w:rFonts w:hint="eastAsia"/>
                <w:highlight w:val="none"/>
                <w:lang w:val="en-US" w:eastAsia="zh-CN"/>
              </w:rPr>
              <w:t>同额不低于100万元</w:t>
            </w:r>
            <w:r>
              <w:rPr>
                <w:rFonts w:hint="eastAsia"/>
                <w:lang w:val="en-US" w:eastAsia="zh-CN"/>
              </w:rPr>
              <w:t>的家具供应合同业绩。</w:t>
            </w:r>
          </w:p>
        </w:tc>
      </w:tr>
    </w:tbl>
    <w:p>
      <w:pPr>
        <w:bidi w:val="0"/>
        <w:rPr>
          <w:rFonts w:hint="eastAsia"/>
          <w:lang w:val="en-US" w:eastAsia="zh-CN"/>
        </w:rPr>
      </w:pPr>
      <w:r>
        <w:rPr>
          <w:rFonts w:hint="eastAsia"/>
          <w:lang w:val="en-US" w:eastAsia="zh-CN"/>
        </w:rPr>
        <w:t>业绩证明材料要求如下，否则业绩不予认可。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 xml:space="preserve">①合同协议书扫描件；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②若合同协议书中不能明确反映出采购文件所要求内容的（如合同金额、合同签订时间、供货内容等），则须提供业主单位（甲方）出具加盖公章的证明材料扫描件。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③若业绩合同中包含多项设备，则合同中应能体现资格要求中所需设备的内容和金额，无法体现的，须提供供货单据、供货发票、业主验收单等能证明相关评审因素的证明材料，否则业绩不与认可。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szCs w:val="24"/>
          <w:highlight w:val="none"/>
        </w:rPr>
      </w:pPr>
      <w:r>
        <w:rPr>
          <w:rFonts w:hint="eastAsia"/>
          <w:lang w:val="en-US" w:eastAsia="zh-CN"/>
        </w:rPr>
        <w:t>④</w:t>
      </w:r>
      <w:r>
        <w:rPr>
          <w:rFonts w:hint="eastAsia"/>
        </w:rPr>
        <w:t>如近年来，投标人法人机构发生合法变更或重组或法人名称变更时，应提供相关部门的合法批件扫描件或其他相关证明材料扫描件来证明其所</w:t>
      </w:r>
      <w:r>
        <w:rPr>
          <w:rFonts w:hint="eastAsia"/>
          <w:szCs w:val="21"/>
          <w:highlight w:val="none"/>
        </w:rPr>
        <w:t>附业绩的继承性。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sz w:val="24"/>
          <w:szCs w:val="24"/>
          <w:highlight w:val="none"/>
        </w:rPr>
      </w:pPr>
    </w:p>
    <w:p>
      <w:pPr>
        <w:pStyle w:val="2"/>
        <w:rPr>
          <w:rFonts w:hint="eastAsia"/>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lang w:val="en-US" w:eastAsia="zh-CN"/>
        </w:rPr>
        <w:t>3</w:t>
      </w:r>
      <w:r>
        <w:rPr>
          <w:rFonts w:hint="eastAsia" w:ascii="黑体" w:eastAsia="黑体"/>
          <w:sz w:val="24"/>
          <w:szCs w:val="24"/>
          <w:highlight w:val="none"/>
        </w:rPr>
        <w:t>资格审查条件（信誉最低要求）</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noWrap w:val="0"/>
            <w:vAlign w:val="center"/>
          </w:tcPr>
          <w:p>
            <w:pPr>
              <w:spacing w:line="276" w:lineRule="auto"/>
              <w:ind w:firstLine="210" w:firstLineChars="100"/>
              <w:jc w:val="left"/>
              <w:rPr>
                <w:rFonts w:hint="eastAsia"/>
              </w:rPr>
            </w:pPr>
            <w:r>
              <w:rPr>
                <w:rFonts w:hint="eastAsia"/>
              </w:rPr>
              <w:t>1.投标人、法定代表人近三年内无行贿犯罪行为。</w:t>
            </w:r>
          </w:p>
          <w:p>
            <w:pPr>
              <w:spacing w:line="276" w:lineRule="auto"/>
              <w:ind w:firstLine="210" w:firstLineChars="100"/>
              <w:jc w:val="left"/>
              <w:rPr>
                <w:rFonts w:hint="eastAsia"/>
              </w:rPr>
            </w:pPr>
            <w:r>
              <w:rPr>
                <w:rFonts w:hint="eastAsia"/>
              </w:rPr>
              <w:t>2.投标人未被人民法院列入失信被执行人（以“信用中国”官网http://www.creditchina.gov.cn查询为准）。</w:t>
            </w:r>
          </w:p>
          <w:p>
            <w:pPr>
              <w:spacing w:line="276" w:lineRule="auto"/>
              <w:ind w:firstLine="210" w:firstLineChars="100"/>
              <w:jc w:val="left"/>
              <w:rPr>
                <w:rFonts w:hint="eastAsia"/>
              </w:rPr>
            </w:pPr>
            <w:r>
              <w:rPr>
                <w:rFonts w:hint="eastAsia"/>
              </w:rPr>
              <w:t>3投标人没有正受到责令停业，暂扣或吊销执照，或吊销资质证书。</w:t>
            </w:r>
          </w:p>
          <w:p>
            <w:pPr>
              <w:spacing w:line="276" w:lineRule="auto"/>
              <w:ind w:firstLine="210" w:firstLineChars="100"/>
              <w:jc w:val="left"/>
              <w:rPr>
                <w:rFonts w:hint="eastAsia"/>
              </w:rPr>
            </w:pPr>
            <w:r>
              <w:rPr>
                <w:rFonts w:hint="eastAsia"/>
                <w:lang w:val="en-US" w:eastAsia="zh-CN"/>
              </w:rPr>
              <w:t>4</w:t>
            </w:r>
            <w:r>
              <w:rPr>
                <w:rFonts w:hint="eastAsia"/>
              </w:rPr>
              <w:t>.没有进入清算程序，或被宣告破产，或其他丧失履约能力的情形。</w:t>
            </w:r>
          </w:p>
          <w:p>
            <w:pPr>
              <w:spacing w:line="276" w:lineRule="auto"/>
              <w:ind w:firstLine="210" w:firstLineChars="100"/>
              <w:jc w:val="left"/>
              <w:rPr>
                <w:rFonts w:hint="eastAsia"/>
              </w:rPr>
            </w:pPr>
            <w:r>
              <w:rPr>
                <w:rFonts w:hint="eastAsia"/>
                <w:lang w:val="en-US" w:eastAsia="zh-CN"/>
              </w:rPr>
              <w:t>5</w:t>
            </w:r>
            <w:r>
              <w:rPr>
                <w:rFonts w:hint="eastAsia"/>
              </w:rPr>
              <w:t>.没有在国家企业信用信息公示系统（http://www.gsxt.gov.cn）中被列入严重违法失信企业名单。</w:t>
            </w:r>
          </w:p>
          <w:p>
            <w:pPr>
              <w:spacing w:line="276" w:lineRule="auto"/>
              <w:ind w:firstLine="210" w:firstLineChars="100"/>
              <w:jc w:val="left"/>
              <w:rPr>
                <w:rFonts w:hint="eastAsia"/>
              </w:rPr>
            </w:pPr>
            <w:r>
              <w:rPr>
                <w:rFonts w:hint="eastAsia"/>
                <w:lang w:val="en-US" w:eastAsia="zh-CN"/>
              </w:rPr>
              <w:t>6</w:t>
            </w:r>
            <w:r>
              <w:rPr>
                <w:rFonts w:hint="eastAsia"/>
              </w:rPr>
              <w:t>.没有法律法规规定的其他情形。</w:t>
            </w:r>
          </w:p>
          <w:p>
            <w:pPr>
              <w:pStyle w:val="30"/>
              <w:rPr>
                <w:rFonts w:hint="eastAsia"/>
              </w:rPr>
            </w:pPr>
          </w:p>
        </w:tc>
      </w:tr>
    </w:tbl>
    <w:p>
      <w:pPr>
        <w:pStyle w:val="30"/>
        <w:rPr>
          <w:rFonts w:ascii="Times New Roman" w:hAnsi="Times New Roman" w:eastAsia="黑体" w:cs="Times New Roman"/>
          <w:bCs/>
          <w:sz w:val="24"/>
          <w:szCs w:val="32"/>
        </w:rPr>
      </w:pP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见供应商须知前附表。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highlight w:val="none"/>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供应商应具备承担本合同包</w:t>
      </w:r>
      <w:r>
        <w:rPr>
          <w:rFonts w:hint="eastAsia" w:ascii="Times New Roman" w:hAnsi="Times New Roman" w:cs="Times New Roman"/>
          <w:szCs w:val="21"/>
          <w:highlight w:val="none"/>
          <w:lang w:val="en-US" w:eastAsia="zh-CN"/>
        </w:rPr>
        <w:t>供货</w:t>
      </w:r>
      <w:r>
        <w:rPr>
          <w:rFonts w:ascii="Times New Roman" w:hAnsi="Times New Roman" w:cs="Times New Roman"/>
          <w:szCs w:val="21"/>
          <w:highlight w:val="none"/>
        </w:rPr>
        <w:t xml:space="preserve">的资质条件、能力和信誉：见第一章 </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采购邀请书要求</w:t>
      </w:r>
      <w:r>
        <w:rPr>
          <w:rFonts w:ascii="Times New Roman" w:hAnsi="Times New Roman" w:cs="Times New Roman"/>
          <w:szCs w:val="21"/>
          <w:highlight w:val="none"/>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要求：见供应商须知前附表</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hint="eastAsia" w:ascii="Times New Roman" w:hAnsi="Times New Roman" w:cs="Times New Roman"/>
          <w:szCs w:val="21"/>
        </w:rPr>
      </w:pPr>
      <w:r>
        <w:rPr>
          <w:rFonts w:hint="eastAsia" w:ascii="Times New Roman" w:hAnsi="Times New Roman" w:cs="Times New Roman"/>
          <w:szCs w:val="21"/>
        </w:rPr>
        <w:t>供应商准备和参加询比活动发生的费用自理。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ghlight w:val="none"/>
        </w:rPr>
        <w:t>）</w:t>
      </w:r>
      <w:r>
        <w:rPr>
          <w:rFonts w:hint="eastAsia" w:ascii="Times New Roman" w:hAnsi="Times New Roman" w:cs="Times New Roman"/>
          <w:highlight w:val="none"/>
        </w:rPr>
        <w:t>采购公告</w:t>
      </w:r>
      <w:r>
        <w:rPr>
          <w:rFonts w:ascii="Times New Roman" w:hAnsi="Times New Roman" w:cs="Times New Roman"/>
          <w:highlight w:val="none"/>
        </w:rPr>
        <w:t>/</w:t>
      </w:r>
      <w:r>
        <w:rPr>
          <w:rFonts w:hint="eastAsia" w:ascii="Times New Roman" w:hAnsi="Times New Roman" w:cs="Times New Roman"/>
          <w:highlight w:val="none"/>
        </w:rPr>
        <w:t>采购邀请书</w:t>
      </w:r>
      <w:r>
        <w:rPr>
          <w:rFonts w:ascii="Times New Roman" w:hAnsi="Times New Roman" w:cs="Times New Roman"/>
          <w:highlight w:val="none"/>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hint="eastAsia" w:ascii="Times New Roman" w:hAnsi="Times New Roman" w:eastAsia="宋体" w:cs="Times New Roman"/>
          <w:lang w:eastAsia="zh-CN"/>
        </w:rPr>
      </w:pPr>
      <w:r>
        <w:rPr>
          <w:rFonts w:ascii="Times New Roman" w:hAnsi="Times New Roman" w:cs="Times New Roman"/>
        </w:rPr>
        <w:t>（4）合同内容</w:t>
      </w:r>
      <w:r>
        <w:rPr>
          <w:rFonts w:hint="eastAsia" w:ascii="Times New Roman" w:hAnsi="Times New Roman" w:eastAsia="宋体" w:cs="Times New Roman"/>
          <w:lang w:eastAsia="zh-CN"/>
        </w:rPr>
        <w:t>；</w:t>
      </w:r>
    </w:p>
    <w:p>
      <w:pPr>
        <w:spacing w:line="440" w:lineRule="exact"/>
        <w:ind w:firstLine="420"/>
        <w:rPr>
          <w:rFonts w:ascii="Times New Roman" w:hAnsi="Times New Roman"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w:t>
      </w:r>
      <w:r>
        <w:rPr>
          <w:rFonts w:hint="eastAsia" w:ascii="Times New Roman" w:hAnsi="Times New Roman" w:eastAsia="宋体" w:cs="Times New Roman"/>
        </w:rPr>
        <w:t>供货要求</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6</w:t>
      </w:r>
      <w:r>
        <w:rPr>
          <w:rFonts w:ascii="Times New Roman" w:hAnsi="Times New Roman" w:cs="Times New Roman"/>
        </w:rPr>
        <w:t>）采购需求及清单；</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7</w:t>
      </w:r>
      <w:r>
        <w:rPr>
          <w:rFonts w:ascii="Times New Roman" w:hAnsi="Times New Roman" w:cs="Times New Roman"/>
        </w:rPr>
        <w:t>）响应文件格式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w:t>
      </w:r>
      <w:r>
        <w:rPr>
          <w:rFonts w:hint="eastAsia" w:ascii="Times New Roman" w:hAnsi="Times New Roman" w:cs="Times New Roman"/>
        </w:rPr>
        <w:t xml:space="preserve"> </w:t>
      </w:r>
      <w:r>
        <w:rPr>
          <w:rFonts w:ascii="Times New Roman" w:hAnsi="Times New Roman" w:cs="Times New Roman"/>
        </w:rPr>
        <w:t>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w:t>
      </w:r>
      <w:r>
        <w:rPr>
          <w:rFonts w:hint="eastAsia" w:ascii="Times New Roman" w:hAnsi="Times New Roman" w:cs="Times New Roman"/>
          <w:lang w:eastAsia="zh-CN"/>
        </w:rPr>
        <w:t>“</w:t>
      </w:r>
      <w:r>
        <w:rPr>
          <w:rFonts w:hint="eastAsia" w:ascii="Times New Roman" w:hAnsi="Times New Roman" w:cs="Times New Roman"/>
        </w:rPr>
        <w:t>安徽</w:t>
      </w:r>
      <w:r>
        <w:rPr>
          <w:rFonts w:hint="eastAsia" w:ascii="Times New Roman" w:hAnsi="Times New Roman" w:cs="Times New Roman"/>
          <w:lang w:val="en-US" w:eastAsia="zh-CN"/>
        </w:rPr>
        <w:t>省经工建设集团有限公司”官网平台联系采购人</w:t>
      </w:r>
      <w:r>
        <w:rPr>
          <w:rFonts w:ascii="Times New Roman" w:hAnsi="Times New Roman" w:cs="Times New Roman"/>
        </w:rPr>
        <w:t>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商务技术文件应包括下列内容：</w:t>
      </w:r>
    </w:p>
    <w:p>
      <w:pPr>
        <w:numPr>
          <w:ilvl w:val="0"/>
          <w:numId w:val="3"/>
        </w:numPr>
        <w:spacing w:line="440" w:lineRule="exact"/>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响应函；</w:t>
      </w:r>
    </w:p>
    <w:p>
      <w:pPr>
        <w:numPr>
          <w:ilvl w:val="0"/>
          <w:numId w:val="3"/>
        </w:numPr>
        <w:spacing w:line="440" w:lineRule="exact"/>
        <w:ind w:firstLine="420"/>
        <w:rPr>
          <w:rFonts w:hint="eastAsia" w:ascii="宋体" w:hAnsi="宋体" w:eastAsia="宋体" w:cs="宋体"/>
          <w:highlight w:val="none"/>
        </w:rPr>
      </w:pPr>
      <w:r>
        <w:rPr>
          <w:rFonts w:hint="eastAsia" w:ascii="宋体" w:hAnsi="宋体" w:eastAsia="宋体" w:cs="宋体"/>
          <w:highlight w:val="none"/>
        </w:rPr>
        <w:t>法定代表人身份证明及授权委托书；</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）供应商基本情况；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）近年类似业绩情况；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）信誉情况；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供货方案</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w:t>
      </w:r>
      <w:r>
        <w:rPr>
          <w:rFonts w:hint="eastAsia" w:ascii="宋体" w:hAnsi="宋体" w:eastAsia="宋体" w:cs="宋体"/>
          <w:highlight w:val="none"/>
          <w:lang w:val="en-US" w:eastAsia="zh-CN"/>
        </w:rPr>
        <w:t>技术性能（质量）指标描述</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如有</w:t>
      </w:r>
      <w:r>
        <w:rPr>
          <w:rFonts w:hint="eastAsia" w:ascii="宋体" w:hAnsi="宋体" w:eastAsia="宋体" w:cs="宋体"/>
          <w:highlight w:val="none"/>
          <w:lang w:eastAsia="zh-CN"/>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）其他材料。</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报价文件包括以下内容：</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报价函</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已标价的工程量清单</w:t>
      </w:r>
      <w:r>
        <w:rPr>
          <w:rFonts w:hint="eastAsia" w:ascii="宋体" w:hAnsi="宋体" w:eastAsia="宋体" w:cs="宋体"/>
          <w:highlight w:val="none"/>
        </w:rPr>
        <w:t>；</w:t>
      </w:r>
    </w:p>
    <w:p>
      <w:pPr>
        <w:spacing w:line="44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rPr>
        <w:t>（3）</w:t>
      </w:r>
      <w:r>
        <w:rPr>
          <w:rFonts w:hint="eastAsia" w:ascii="宋体" w:hAnsi="宋体" w:eastAsia="宋体" w:cs="宋体"/>
          <w:highlight w:val="none"/>
          <w:lang w:val="en-US" w:eastAsia="zh-CN"/>
        </w:rPr>
        <w:t>响应报价需要说明的其他资料。（如有）</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p>
    <w:p>
      <w:pPr>
        <w:spacing w:line="440" w:lineRule="exact"/>
        <w:ind w:firstLine="420"/>
        <w:rPr>
          <w:rFonts w:hint="default" w:ascii="Times New Roman" w:hAnsi="Times New Roman" w:cs="Times New Roman" w:eastAsiaTheme="minorEastAsia"/>
          <w:lang w:val="en-US" w:eastAsia="zh-C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供应商应按第六章“响应文件格式”的要求在报价函中进行报价并填写工程量清单相应表格</w:t>
      </w:r>
      <w:r>
        <w:rPr>
          <w:rFonts w:hint="eastAsia" w:ascii="Times New Roman" w:hAnsi="Times New Roman" w:cs="Times New Roman"/>
          <w:lang w:val="en-US" w:eastAsia="zh-C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 xml:space="preserve">  见供应商须知前附表  </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szCs w:val="21"/>
        </w:rPr>
        <w:t>见供应商须知前附表</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3.4响应保证金</w:t>
      </w:r>
    </w:p>
    <w:p>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rPr>
        <w:t>的要求</w:t>
      </w:r>
      <w:r>
        <w:rPr>
          <w:rFonts w:ascii="Times New Roman" w:hAnsi="Times New Roman" w:cs="Times New Roman"/>
        </w:rPr>
        <w:t>递交响应保证金，并作为其响应文件的组成部分。</w:t>
      </w:r>
    </w:p>
    <w:p>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3.4.3 采购人在与成交人签订合同后5日内办理退还响应保证金手续。</w:t>
      </w:r>
    </w:p>
    <w:p>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szCs w:val="21"/>
        </w:rPr>
        <w:t>供应商须知前附表规定的</w:t>
      </w:r>
      <w:r>
        <w:rPr>
          <w:rFonts w:ascii="Times New Roman" w:hAnsi="Times New Roman" w:cs="Times New Roman"/>
          <w:szCs w:val="21"/>
        </w:rPr>
        <w:t>其他情形</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3.5资格审查资料</w:t>
      </w:r>
    </w:p>
    <w:p>
      <w:pPr>
        <w:spacing w:line="440" w:lineRule="exact"/>
        <w:ind w:firstLine="420"/>
        <w:rPr>
          <w:rFonts w:ascii="Times New Roman" w:hAnsi="Times New Roman" w:cs="Times New Roman"/>
        </w:rPr>
      </w:pPr>
      <w:r>
        <w:rPr>
          <w:rFonts w:ascii="Times New Roman" w:hAnsi="Times New Roman" w:cs="Times New Roman"/>
        </w:rPr>
        <w:t>供应商应按“响应文件格式”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w:t>
      </w:r>
      <w:r>
        <w:rPr>
          <w:rFonts w:hint="eastAsia" w:ascii="Times New Roman" w:hAnsi="Times New Roman" w:cs="Times New Roman"/>
        </w:rPr>
        <w:t>能力、</w:t>
      </w:r>
      <w:r>
        <w:rPr>
          <w:rFonts w:ascii="Times New Roman" w:hAnsi="Times New Roman" w:cs="Times New Roman"/>
        </w:rPr>
        <w:t>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响应文件应当对询比文件有关工期、响应有效期、质量要求、技术标准和要求、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hint="default" w:ascii="Times New Roman" w:hAnsi="Times New Roman" w:cs="Times New Roman" w:eastAsiaTheme="minorEastAsia"/>
          <w:lang w:val="en-US" w:eastAsia="zh-CN"/>
        </w:rPr>
      </w:pPr>
      <w:r>
        <w:rPr>
          <w:rFonts w:ascii="Times New Roman" w:hAnsi="Times New Roman" w:cs="Times New Roman"/>
        </w:rPr>
        <w:t>（2）</w:t>
      </w:r>
      <w:r>
        <w:rPr>
          <w:rFonts w:hint="eastAsia" w:ascii="Times New Roman" w:hAnsi="Times New Roman" w:cs="Times New Roman"/>
          <w:lang w:val="en-US" w:eastAsia="zh-CN"/>
        </w:rPr>
        <w:t>响应文件正本一份，副本一份。正本和副本的封面右上角上应清楚地标记“正本”和“副本”的字样。当副本与正本不一致时，以正本文件为准。</w:t>
      </w:r>
    </w:p>
    <w:p>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响应文件的正本与副本应分别装订。</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4</w:t>
      </w:r>
      <w:r>
        <w:rPr>
          <w:rFonts w:hint="eastAsia" w:ascii="Times New Roman" w:hAnsi="Times New Roman" w:cs="Times New Roman"/>
          <w:highlight w:val="none"/>
          <w:lang w:eastAsia="zh-CN"/>
        </w:rPr>
        <w:t>）</w:t>
      </w:r>
      <w:r>
        <w:rPr>
          <w:rFonts w:hint="eastAsia" w:ascii="Times New Roman" w:hAnsi="Times New Roman" w:cs="Times New Roman"/>
          <w:highlight w:val="none"/>
        </w:rPr>
        <w:t>响应文件其他要求见供应商须知前附表</w:t>
      </w:r>
      <w:r>
        <w:rPr>
          <w:rFonts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hint="eastAsia" w:ascii="Times New Roman" w:hAnsi="Times New Roman" w:cs="Times New Roman"/>
          <w:lang w:val="en-US" w:eastAsia="zh-C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第一信封（商务技术文件）</w:t>
      </w:r>
      <w:r>
        <w:rPr>
          <w:rFonts w:hint="eastAsia" w:ascii="Times New Roman" w:hAnsi="Times New Roman" w:eastAsia="黑体" w:cs="黑体"/>
          <w:bCs/>
          <w:snapToGrid w:val="0"/>
          <w:kern w:val="0"/>
          <w:szCs w:val="21"/>
        </w:rPr>
        <w:t>响应文件</w:t>
      </w:r>
    </w:p>
    <w:p>
      <w:pPr>
        <w:spacing w:line="440" w:lineRule="exact"/>
        <w:ind w:firstLine="420"/>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响应文件第二信封（报价文件）</w:t>
      </w:r>
      <w:r>
        <w:rPr>
          <w:rFonts w:hint="eastAsia" w:ascii="Times New Roman" w:hAnsi="Times New Roman" w:cs="Times New Roman"/>
        </w:rPr>
        <w:t>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(项目</w:t>
      </w:r>
      <w:r>
        <w:rPr>
          <w:rFonts w:hint="eastAsia" w:ascii="Times New Roman" w:hAnsi="Times New Roman" w:eastAsia="黑体" w:cs="黑体"/>
        </w:rPr>
        <w:t>名称</w:t>
      </w:r>
      <w:r>
        <w:rPr>
          <w:rFonts w:hint="eastAsia" w:ascii="Times New Roman" w:hAnsi="Times New Roman" w:eastAsia="黑体" w:cs="黑体"/>
          <w:bCs/>
          <w:snapToGrid w:val="0"/>
          <w:kern w:val="0"/>
          <w:szCs w:val="21"/>
        </w:rPr>
        <w:t>)</w:t>
      </w:r>
      <w:r>
        <w:rPr>
          <w:rFonts w:hint="eastAsia" w:ascii="Times New Roman" w:hAnsi="Times New Roman" w:eastAsia="黑体" w:cs="黑体"/>
          <w:bCs/>
          <w:snapToGrid w:val="0"/>
          <w:kern w:val="0"/>
          <w:szCs w:val="21"/>
          <w:u w:val="single"/>
          <w:lang w:val="en-US" w:eastAsia="zh-CN"/>
        </w:rPr>
        <w:t xml:space="preserve">    </w:t>
      </w:r>
      <w:r>
        <w:rPr>
          <w:rFonts w:hint="eastAsia" w:ascii="Times New Roman" w:hAnsi="Times New Roman" w:eastAsia="黑体" w:cs="黑体"/>
          <w:bCs/>
          <w:snapToGrid w:val="0"/>
          <w:kern w:val="0"/>
          <w:szCs w:val="21"/>
          <w:lang w:val="en-US" w:eastAsia="zh-CN"/>
        </w:rPr>
        <w:t>包</w:t>
      </w:r>
      <w:r>
        <w:rPr>
          <w:rFonts w:hint="eastAsia" w:ascii="Times New Roman" w:hAnsi="Times New Roman" w:eastAsia="黑体" w:cs="黑体"/>
          <w:bCs/>
          <w:snapToGrid w:val="0"/>
          <w:kern w:val="0"/>
          <w:szCs w:val="21"/>
          <w:u w:val="none"/>
          <w:lang w:val="en-US" w:eastAsia="zh-CN"/>
        </w:rPr>
        <w:t>第二信封（报价文件）</w:t>
      </w:r>
      <w:r>
        <w:rPr>
          <w:rFonts w:hint="eastAsia" w:ascii="Times New Roman" w:hAnsi="Times New Roman" w:eastAsia="黑体" w:cs="黑体"/>
          <w:bCs/>
          <w:snapToGrid w:val="0"/>
          <w:kern w:val="0"/>
          <w:szCs w:val="21"/>
        </w:rPr>
        <w:t>响应文件</w:t>
      </w:r>
    </w:p>
    <w:p>
      <w:pPr>
        <w:spacing w:line="440" w:lineRule="exact"/>
        <w:ind w:firstLine="420" w:firstLineChars="200"/>
        <w:jc w:val="both"/>
        <w:rPr>
          <w:rFonts w:hint="eastAsia" w:ascii="Times New Roman" w:hAnsi="Times New Roman" w:eastAsia="黑体" w:cs="黑体"/>
          <w:bCs/>
          <w:snapToGrid w:val="0"/>
          <w:kern w:val="0"/>
          <w:szCs w:val="21"/>
        </w:rPr>
      </w:pPr>
      <w:r>
        <w:rPr>
          <w:rFonts w:hint="eastAsia" w:ascii="Times New Roman" w:hAnsi="Times New Roman" w:eastAsia="黑体" w:cs="黑体"/>
          <w:bCs/>
          <w:snapToGrid w:val="0"/>
          <w:kern w:val="0"/>
          <w:szCs w:val="21"/>
          <w:lang w:val="en-US" w:eastAsia="zh-CN"/>
        </w:rPr>
        <w:t>在第一信封开启</w:t>
      </w:r>
      <w:r>
        <w:rPr>
          <w:rFonts w:hint="eastAsia" w:ascii="Times New Roman" w:hAnsi="Times New Roman" w:eastAsia="黑体" w:cs="黑体"/>
          <w:bCs/>
          <w:snapToGrid w:val="0"/>
          <w:kern w:val="0"/>
          <w:szCs w:val="21"/>
        </w:rPr>
        <w:t>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5.2.1主持人按下列程序进行启封：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（2）由供应商推选的代表检查响应文件的密封情况；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rPr>
        <w:t>（3）</w:t>
      </w:r>
      <w:r>
        <w:rPr>
          <w:rFonts w:hint="eastAsia" w:ascii="Times New Roman" w:hAnsi="Times New Roman" w:cs="Times New Roman"/>
          <w:bCs/>
          <w:lang w:val="en-US" w:eastAsia="zh-CN"/>
        </w:rPr>
        <w:t>开启商务技术文件</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lang w:val="en-US" w:eastAsia="zh-CN"/>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cs="Times New Roman"/>
          <w:bCs/>
          <w:lang w:val="en-US" w:eastAsia="zh-CN"/>
        </w:rPr>
        <w:t>开启报价文件；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6. 评审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6.1</w:t>
      </w:r>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highlight w:val="none"/>
        </w:rPr>
        <w:t>评审小组人数：3</w:t>
      </w:r>
      <w:r>
        <w:rPr>
          <w:rFonts w:hint="eastAsia" w:ascii="Times New Roman" w:hAnsi="Times New Roman" w:cs="Times New Roman"/>
          <w:highlight w:val="none"/>
          <w:lang w:val="en-US" w:eastAsia="zh-CN"/>
        </w:rPr>
        <w:t>人及以上单数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7. 合同授予</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7.1成交候选人公示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采用公开询比方式采购的项目，公示期不得少于</w:t>
      </w:r>
      <w:r>
        <w:rPr>
          <w:rFonts w:hint="eastAsia" w:ascii="Times New Roman" w:hAnsi="Times New Roman" w:cs="Times New Roman"/>
        </w:rPr>
        <w:t>3</w:t>
      </w:r>
      <w:r>
        <w:rPr>
          <w:rFonts w:ascii="Times New Roman" w:hAnsi="Times New Roman" w:cs="Times New Roman"/>
        </w:rPr>
        <w:t>日。</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7.2评审结果异议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7.3成交候选人履约能力审查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7.4履约保证金</w:t>
      </w:r>
    </w:p>
    <w:p>
      <w:pPr>
        <w:rPr>
          <w:rFonts w:hint="default" w:ascii="宋体" w:hAnsi="宋体" w:eastAsia="宋体" w:cs="宋体"/>
          <w:kern w:val="2"/>
          <w:sz w:val="21"/>
          <w:szCs w:val="21"/>
          <w:lang w:val="en-US" w:eastAsia="zh-CN" w:bidi="ar-SA"/>
        </w:rPr>
      </w:pPr>
      <w:r>
        <w:rPr>
          <w:rFonts w:ascii="Times New Roman" w:hAnsi="Times New Roman" w:cs="Times New Roman"/>
        </w:rPr>
        <w:t>7.4.1</w:t>
      </w:r>
      <w:r>
        <w:rPr>
          <w:rFonts w:hint="eastAsia" w:ascii="宋体" w:hAnsi="宋体" w:eastAsia="宋体" w:cs="宋体"/>
          <w:kern w:val="2"/>
          <w:sz w:val="21"/>
          <w:szCs w:val="21"/>
          <w:lang w:val="en-US" w:eastAsia="zh-CN" w:bidi="ar-SA"/>
        </w:rPr>
        <w:t>中标后，响应保证金自动转为履约保证金。</w:t>
      </w:r>
    </w:p>
    <w:p>
      <w:pPr>
        <w:spacing w:line="440" w:lineRule="exact"/>
        <w:ind w:firstLine="420"/>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7.4.2 成交人不能按本章第7.</w:t>
      </w:r>
      <w:r>
        <w:rPr>
          <w:rFonts w:hint="eastAsia" w:ascii="Times New Roman" w:hAnsi="Times New Roman" w:cs="Times New Roman"/>
        </w:rPr>
        <w:t>4</w:t>
      </w:r>
      <w:r>
        <w:rPr>
          <w:rFonts w:ascii="Times New Roman" w:hAnsi="Times New Roman" w:cs="Times New Roman"/>
        </w:rPr>
        <w:t>.1项要求提交履约保证金的，视为放弃成交候选人，其响应保证金不予退还，给采购人造成的损失超过响应保证金数额的，成交人还应当对超过部分予以赔偿。</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ascii="Times New Roman" w:hAnsi="Times New Roman" w:cs="Times New Roman"/>
          <w:highlight w:val="none"/>
        </w:rPr>
        <w:t>7.4.3履约保证金在</w:t>
      </w:r>
      <w:r>
        <w:rPr>
          <w:rFonts w:hint="eastAsia" w:ascii="宋体" w:hAnsi="宋体" w:eastAsia="宋体" w:cs="宋体"/>
          <w:kern w:val="2"/>
          <w:sz w:val="21"/>
          <w:szCs w:val="21"/>
          <w:highlight w:val="none"/>
          <w:lang w:val="en-US" w:eastAsia="zh-CN" w:bidi="ar-SA"/>
        </w:rPr>
        <w:t>该项目物资供应整体验收完成后28天内无息退还。</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7.5签订合同</w:t>
      </w:r>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8. 纪律和监督</w:t>
      </w:r>
    </w:p>
    <w:p>
      <w:pPr>
        <w:keepNext/>
        <w:keepLines/>
        <w:spacing w:before="120" w:after="120"/>
        <w:outlineLvl w:val="2"/>
        <w:rPr>
          <w:rFonts w:hint="eastAsia" w:ascii="Times New Roman" w:hAnsi="Times New Roman" w:eastAsia="黑体" w:cs="Times New Roman"/>
          <w:bCs/>
          <w:sz w:val="24"/>
          <w:szCs w:val="32"/>
        </w:rPr>
      </w:pPr>
      <w:r>
        <w:rPr>
          <w:rFonts w:hint="eastAsia" w:ascii="Times New Roman" w:hAnsi="Times New Roman" w:eastAsia="黑体" w:cs="Times New Roman"/>
          <w:bCs/>
          <w:sz w:val="24"/>
          <w:szCs w:val="32"/>
          <w:lang w:val="en-US" w:eastAsia="zh-CN"/>
        </w:rPr>
        <w:t xml:space="preserve">8.1 </w:t>
      </w:r>
      <w:r>
        <w:rPr>
          <w:rFonts w:hint="eastAsia" w:ascii="Times New Roman" w:hAnsi="Times New Roman" w:eastAsia="黑体" w:cs="Times New Roman"/>
          <w:bCs/>
          <w:sz w:val="24"/>
          <w:szCs w:val="32"/>
        </w:rPr>
        <w:t>对</w:t>
      </w:r>
      <w:r>
        <w:rPr>
          <w:rFonts w:hint="eastAsia" w:ascii="Times New Roman" w:hAnsi="Times New Roman" w:eastAsia="黑体" w:cs="Times New Roman"/>
          <w:bCs/>
          <w:sz w:val="24"/>
          <w:szCs w:val="32"/>
          <w:lang w:eastAsia="zh-CN"/>
        </w:rPr>
        <w:t>采购</w:t>
      </w:r>
      <w:r>
        <w:rPr>
          <w:rFonts w:hint="eastAsia" w:ascii="Times New Roman" w:hAnsi="Times New Roman" w:eastAsia="黑体" w:cs="Times New Roman"/>
          <w:bCs/>
          <w:sz w:val="24"/>
          <w:szCs w:val="32"/>
        </w:rPr>
        <w:t>人的纪律要求</w:t>
      </w:r>
    </w:p>
    <w:p>
      <w:pPr>
        <w:spacing w:line="440" w:lineRule="exact"/>
        <w:ind w:firstLine="420"/>
        <w:rPr>
          <w:rFonts w:hint="eastAsia" w:ascii="Times New Roman" w:hAnsi="Times New Roman" w:cs="Times New Roman"/>
          <w:lang w:val="en-US" w:eastAsia="zh-CN"/>
        </w:rPr>
      </w:pPr>
      <w:r>
        <w:rPr>
          <w:rFonts w:hint="eastAsia" w:ascii="Times New Roman" w:hAnsi="Times New Roman" w:cs="Times New Roman"/>
          <w:lang w:eastAsia="zh-CN"/>
        </w:rPr>
        <w:t>采购</w:t>
      </w:r>
      <w:r>
        <w:rPr>
          <w:rFonts w:hint="eastAsia" w:ascii="Times New Roman" w:hAnsi="Times New Roman" w:cs="Times New Roman"/>
        </w:rPr>
        <w:t>人不得泄露</w:t>
      </w:r>
      <w:r>
        <w:rPr>
          <w:rFonts w:hint="eastAsia" w:ascii="Times New Roman" w:hAnsi="Times New Roman" w:cs="Times New Roman"/>
          <w:lang w:eastAsia="zh-CN"/>
        </w:rPr>
        <w:t>采购</w:t>
      </w:r>
      <w:r>
        <w:rPr>
          <w:rFonts w:hint="eastAsia" w:ascii="Times New Roman" w:hAnsi="Times New Roman" w:cs="Times New Roman"/>
        </w:rPr>
        <w:t>活动中应当保密的情况和资料， 不得与</w:t>
      </w:r>
      <w:r>
        <w:rPr>
          <w:rFonts w:hint="eastAsia" w:ascii="Times New Roman" w:hAnsi="Times New Roman" w:cs="Times New Roman"/>
          <w:lang w:eastAsia="zh-CN"/>
        </w:rPr>
        <w:t>响应供应商</w:t>
      </w:r>
      <w:r>
        <w:rPr>
          <w:rFonts w:hint="eastAsia" w:ascii="Times New Roman" w:hAnsi="Times New Roman" w:cs="Times New Roman"/>
        </w:rPr>
        <w:t>串通损害国家利益、社会公共利益或者他人合法权益。</w:t>
      </w:r>
    </w:p>
    <w:p>
      <w:pPr>
        <w:keepNext/>
        <w:keepLines/>
        <w:spacing w:before="120" w:after="120"/>
        <w:outlineLvl w:val="2"/>
        <w:rPr>
          <w:rFonts w:hint="default"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8.2对响应供应商的纪律要求</w:t>
      </w:r>
    </w:p>
    <w:p>
      <w:pPr>
        <w:spacing w:line="440" w:lineRule="exact"/>
        <w:ind w:firstLine="420"/>
        <w:rPr>
          <w:rFonts w:hint="eastAsia" w:ascii="Times New Roman" w:hAnsi="Times New Roman" w:cs="Times New Roman"/>
        </w:rPr>
      </w:pPr>
      <w:r>
        <w:rPr>
          <w:rFonts w:hint="eastAsia" w:ascii="Times New Roman" w:hAnsi="Times New Roman" w:cs="Times New Roman"/>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20" w:after="120"/>
        <w:outlineLvl w:val="2"/>
        <w:rPr>
          <w:rFonts w:hint="eastAsia" w:ascii="Times New Roman" w:hAnsi="Times New Roman" w:eastAsia="黑体" w:cs="Times New Roman"/>
          <w:bCs/>
          <w:sz w:val="24"/>
          <w:szCs w:val="32"/>
          <w:lang w:val="en-US" w:eastAsia="zh-CN"/>
        </w:rPr>
      </w:pPr>
      <w:r>
        <w:rPr>
          <w:rFonts w:hint="eastAsia" w:ascii="Times New Roman" w:hAnsi="Times New Roman" w:eastAsia="黑体" w:cs="Times New Roman"/>
          <w:bCs/>
          <w:sz w:val="24"/>
          <w:szCs w:val="32"/>
          <w:lang w:val="en-US" w:eastAsia="zh-CN"/>
        </w:rPr>
        <w:t>8.3 对评审小组成员的纪律要求</w:t>
      </w:r>
    </w:p>
    <w:p>
      <w:pPr>
        <w:spacing w:line="440" w:lineRule="exact"/>
        <w:ind w:firstLine="420"/>
        <w:rPr>
          <w:rFonts w:hint="default" w:ascii="Times New Roman" w:hAnsi="Times New Roman" w:cs="Times New Roman"/>
          <w:lang w:val="en-US" w:eastAsia="zh-CN"/>
        </w:rPr>
      </w:pPr>
      <w:r>
        <w:rPr>
          <w:rFonts w:hint="eastAsia" w:ascii="Times New Roman" w:hAnsi="Times New Roman" w:cs="Times New Roman"/>
          <w:lang w:eastAsia="zh-CN"/>
        </w:rPr>
        <w:t>评审小组</w:t>
      </w:r>
      <w:r>
        <w:rPr>
          <w:rFonts w:hint="eastAsia" w:ascii="Times New Roman" w:hAnsi="Times New Roman" w:cs="Times New Roman"/>
        </w:rPr>
        <w:t>成员不得收受他人的财物或者其他好处，不得向他人透露对</w:t>
      </w:r>
      <w:r>
        <w:rPr>
          <w:rFonts w:hint="eastAsia" w:ascii="Times New Roman" w:hAnsi="Times New Roman" w:cs="Times New Roman"/>
          <w:lang w:eastAsia="zh-CN"/>
        </w:rPr>
        <w:t>响应</w:t>
      </w:r>
      <w:r>
        <w:rPr>
          <w:rFonts w:hint="eastAsia" w:ascii="Times New Roman" w:hAnsi="Times New Roman" w:cs="Times New Roman"/>
        </w:rPr>
        <w:t>文件的评审和比较、中标候选人的推荐情况以及</w:t>
      </w:r>
      <w:r>
        <w:rPr>
          <w:rFonts w:hint="eastAsia" w:ascii="Times New Roman" w:hAnsi="Times New Roman" w:cs="Times New Roman"/>
          <w:lang w:eastAsia="zh-CN"/>
        </w:rPr>
        <w:t>评审</w:t>
      </w:r>
      <w:r>
        <w:rPr>
          <w:rFonts w:hint="eastAsia" w:ascii="Times New Roman" w:hAnsi="Times New Roman" w:cs="Times New Roman"/>
        </w:rPr>
        <w:t>有关的其他情况。在</w:t>
      </w:r>
      <w:r>
        <w:rPr>
          <w:rFonts w:hint="eastAsia" w:ascii="Times New Roman" w:hAnsi="Times New Roman" w:cs="Times New Roman"/>
          <w:lang w:eastAsia="zh-CN"/>
        </w:rPr>
        <w:t>评审</w:t>
      </w:r>
      <w:r>
        <w:rPr>
          <w:rFonts w:hint="eastAsia" w:ascii="Times New Roman" w:hAnsi="Times New Roman" w:cs="Times New Roman"/>
        </w:rPr>
        <w:t>活动中，</w:t>
      </w:r>
      <w:r>
        <w:rPr>
          <w:rFonts w:hint="eastAsia" w:ascii="Times New Roman" w:hAnsi="Times New Roman" w:cs="Times New Roman"/>
          <w:lang w:eastAsia="zh-CN"/>
        </w:rPr>
        <w:t>评审小组</w:t>
      </w:r>
      <w:r>
        <w:rPr>
          <w:rFonts w:hint="eastAsia" w:ascii="Times New Roman" w:hAnsi="Times New Roman" w:cs="Times New Roman"/>
        </w:rPr>
        <w:t>成员应当客观、公正地履行职责，遵守职业道德，不得擅离职守，影响评标程序正常进行，不得使用第三章“</w:t>
      </w:r>
      <w:r>
        <w:rPr>
          <w:rFonts w:hint="eastAsia" w:ascii="Times New Roman" w:hAnsi="Times New Roman" w:cs="Times New Roman"/>
          <w:lang w:eastAsia="zh-CN"/>
        </w:rPr>
        <w:t>评审</w:t>
      </w:r>
      <w:r>
        <w:rPr>
          <w:rFonts w:hint="eastAsia" w:ascii="Times New Roman" w:hAnsi="Times New Roman" w:cs="Times New Roman"/>
        </w:rPr>
        <w:t>办法”没有规定的评审因素和标准进行</w:t>
      </w:r>
      <w:r>
        <w:rPr>
          <w:rFonts w:hint="eastAsia" w:ascii="Times New Roman" w:hAnsi="Times New Roman" w:cs="Times New Roman"/>
          <w:lang w:eastAsia="zh-CN"/>
        </w:rPr>
        <w:t>评审</w:t>
      </w:r>
      <w:r>
        <w:rPr>
          <w:rFonts w:hint="eastAsia"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hint="eastAsia" w:ascii="Times New Roman" w:hAnsi="Times New Roman" w:eastAsia="黑体" w:cs="Times New Roman"/>
          <w:bCs/>
          <w:sz w:val="24"/>
          <w:szCs w:val="32"/>
        </w:rPr>
        <w:t xml:space="preserve">9. </w:t>
      </w:r>
      <w:r>
        <w:rPr>
          <w:rFonts w:ascii="Times New Roman" w:hAnsi="Times New Roman" w:eastAsia="黑体" w:cs="Times New Roman"/>
          <w:bCs/>
          <w:sz w:val="24"/>
          <w:szCs w:val="32"/>
        </w:rPr>
        <w:t>需要补充的其他内容</w:t>
      </w:r>
    </w:p>
    <w:p>
      <w:pPr>
        <w:spacing w:line="440" w:lineRule="exact"/>
        <w:ind w:firstLine="420"/>
        <w:rPr>
          <w:rFonts w:hint="eastAsia" w:ascii="Times New Roman" w:hAnsi="Times New Roman" w:cs="Times New Roman"/>
        </w:rPr>
      </w:pPr>
      <w:r>
        <w:rPr>
          <w:rFonts w:hint="eastAsia" w:ascii="Times New Roman" w:hAnsi="Times New Roman" w:cs="Times New Roman"/>
        </w:rPr>
        <w:t>需要补充的其他内容：见供应商须知前附表。</w:t>
      </w:r>
    </w:p>
    <w:bookmarkEnd w:id="49"/>
    <w:bookmarkEnd w:id="50"/>
    <w:bookmarkEnd w:id="51"/>
    <w:p>
      <w:pPr>
        <w:spacing w:line="440" w:lineRule="exact"/>
        <w:ind w:firstLine="420"/>
        <w:rPr>
          <w:rFonts w:hint="eastAsia" w:ascii="Times New Roman" w:hAnsi="Times New Roman" w:cs="Times New Roman"/>
        </w:rPr>
      </w:pPr>
      <w:r>
        <w:rPr>
          <w:rFonts w:hint="eastAsia" w:ascii="Times New Roman" w:hAnsi="Times New Roman" w:cs="Times New Roman"/>
        </w:rPr>
        <w:br w:type="page"/>
      </w:r>
    </w:p>
    <w:p>
      <w:pPr>
        <w:pStyle w:val="3"/>
        <w:spacing w:before="312" w:after="312"/>
        <w:rPr>
          <w:rFonts w:ascii="Times New Roman" w:hAnsi="Times New Roman" w:eastAsia="宋体" w:cs="Times New Roman"/>
        </w:rPr>
      </w:pPr>
      <w:bookmarkStart w:id="52" w:name="_Toc2394"/>
      <w:r>
        <w:rPr>
          <w:rFonts w:ascii="Times New Roman" w:hAnsi="Times New Roman" w:eastAsia="宋体" w:cs="Times New Roman"/>
        </w:rPr>
        <w:t>评审办法</w:t>
      </w:r>
      <w:bookmarkEnd w:id="52"/>
    </w:p>
    <w:p>
      <w:pPr>
        <w:rPr>
          <w:rFonts w:ascii="Times New Roman" w:hAnsi="Times New Roman" w:eastAsia="宋体" w:cs="Times New Roman"/>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spacing w:afterLines="100" w:line="420" w:lineRule="exact"/>
        <w:jc w:val="center"/>
        <w:rPr>
          <w:rFonts w:ascii="Times New Roman" w:hAnsi="Times New Roman" w:eastAsia="黑体" w:cs="Times New Roman"/>
          <w:sz w:val="28"/>
          <w:szCs w:val="28"/>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pPr>
        <w:pStyle w:val="34"/>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53" w:name="_Toc152045528"/>
      <w:bookmarkStart w:id="54" w:name="_Toc3834"/>
      <w:bookmarkStart w:id="55" w:name="_Toc144974496"/>
      <w:bookmarkStart w:id="56" w:name="_Toc152042304"/>
      <w:bookmarkStart w:id="57" w:name="_Toc447808662"/>
      <w:bookmarkStart w:id="58" w:name="_Toc457482536"/>
      <w:bookmarkStart w:id="59" w:name="_Toc14847"/>
      <w:r>
        <w:rPr>
          <w:rFonts w:hint="eastAsia" w:ascii="宋体" w:hAnsi="宋体" w:eastAsia="宋体"/>
          <w:b/>
          <w:bCs/>
          <w:szCs w:val="28"/>
        </w:rPr>
        <w:t>前附表</w:t>
      </w:r>
      <w:bookmarkEnd w:id="53"/>
      <w:bookmarkEnd w:id="54"/>
      <w:bookmarkEnd w:id="55"/>
      <w:bookmarkEnd w:id="56"/>
      <w:bookmarkEnd w:id="57"/>
      <w:bookmarkEnd w:id="58"/>
      <w:bookmarkEnd w:id="59"/>
      <w:r>
        <w:rPr>
          <w:rFonts w:hint="eastAsia" w:ascii="宋体" w:hAnsi="宋体" w:eastAsia="宋体"/>
          <w:b/>
          <w:bCs/>
          <w:szCs w:val="28"/>
        </w:rPr>
        <w:t>A</w:t>
      </w: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条款号</w:t>
            </w:r>
          </w:p>
        </w:tc>
        <w:tc>
          <w:tcPr>
            <w:tcW w:w="1774"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评审因素</w:t>
            </w:r>
          </w:p>
        </w:tc>
        <w:tc>
          <w:tcPr>
            <w:tcW w:w="5676"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1</w:t>
            </w:r>
          </w:p>
        </w:tc>
        <w:tc>
          <w:tcPr>
            <w:tcW w:w="1060"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rPr>
              <w:t>评审方法</w:t>
            </w:r>
          </w:p>
        </w:tc>
        <w:tc>
          <w:tcPr>
            <w:tcW w:w="1774" w:type="dxa"/>
            <w:tcMar>
              <w:left w:w="75" w:type="dxa"/>
            </w:tcMar>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成交候选人</w:t>
            </w:r>
          </w:p>
          <w:p>
            <w:pPr>
              <w:widowControl/>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rPr>
              <w:t>排序方法</w:t>
            </w:r>
          </w:p>
        </w:tc>
        <w:tc>
          <w:tcPr>
            <w:tcW w:w="5676" w:type="dxa"/>
            <w:tcMar>
              <w:left w:w="75" w:type="dxa"/>
            </w:tcMar>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评标委员会按评标价由低到高顺序推荐中标候选人，评标价相等时，评标委员会依次按照以下优先顺序推荐中标候选人：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）商务及技术文件得分较高的投标人优先；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）投标文件提供的业绩数量多的投标人优先； </w:t>
            </w:r>
          </w:p>
          <w:p>
            <w:pPr>
              <w:keepNext w:val="0"/>
              <w:keepLines w:val="0"/>
              <w:widowControl/>
              <w:suppressLineNumbers w:val="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）投标文件提供的业绩累计合同金额大的投标人优先。 </w:t>
            </w:r>
          </w:p>
        </w:tc>
      </w:tr>
    </w:tbl>
    <w:p>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7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7418" w:type="dxa"/>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5"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1096"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形式评审</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与响应性</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评审标准</w:t>
            </w:r>
          </w:p>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lang w:eastAsia="zh-CN"/>
              </w:rPr>
            </w:pPr>
          </w:p>
        </w:tc>
        <w:tc>
          <w:tcPr>
            <w:tcW w:w="7418" w:type="dxa"/>
            <w:tcMar>
              <w:left w:w="75" w:type="dxa"/>
            </w:tcMar>
            <w:vAlign w:val="center"/>
          </w:tcPr>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第一个信封（商务及技术文件）评审标准：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）投标文件按照采购文件规定的格式、内容填写，字迹清晰可辨：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投标函按采购文件规定填报了采购人名称、项目名称、标段号、补遗书编号（如有）、工期、工程质量要求及安全目标；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投标函附录的所有数据均符合采购文件规定；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投标文件组成齐全完整，内容均按规定填写。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）投标文件上法定代表人或其授权代理人的签字、投标人的单位章盖章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齐全，符合采购文件规定。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）投标人按照采购文件的规定提供了投标保证金：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投标保证金金额符合采购文件规定的金额，且投标保证金有效期不少于投标有效期；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若投标保证金采用现金或支票形式提交，投标人应在递交投标文件截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止时间之前，将投标保证金由投标人的基本账户转入并到达采购人指定账户；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若投标保证金采用银行保函形式提交，银行保函的格式、开具保函的银行均满足采购文件要求。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）投标人法定代表人授权委托代理人签署投标文件的，需提交授权委托书，且授权人和被授权人均在授权委托书上签字。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）投标人法定代表人亲自签署投标文件的，提供了法定代表人身份证明，且法定代表人在法定代表人身份证明上签字。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 xml:space="preserve">）本项目不接受联合体投标。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 xml:space="preserve">）同一投标人未提交两个以上不同的投标文件。 </w:t>
            </w:r>
          </w:p>
          <w:p>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8</w:t>
            </w:r>
            <w:r>
              <w:rPr>
                <w:rFonts w:hint="eastAsia" w:ascii="宋体" w:hAnsi="宋体" w:eastAsia="宋体" w:cs="宋体"/>
                <w:color w:val="000000"/>
                <w:kern w:val="0"/>
                <w:sz w:val="22"/>
                <w:szCs w:val="22"/>
                <w:lang w:val="en-US" w:eastAsia="zh-CN" w:bidi="ar"/>
              </w:rPr>
              <w:t>）投标文件中未出现有关投标报价的内容。</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9</w:t>
            </w:r>
            <w:r>
              <w:rPr>
                <w:rFonts w:hint="eastAsia" w:ascii="宋体" w:hAnsi="宋体" w:eastAsia="宋体" w:cs="宋体"/>
                <w:color w:val="000000"/>
                <w:kern w:val="0"/>
                <w:sz w:val="22"/>
                <w:szCs w:val="22"/>
                <w:lang w:val="en-US" w:eastAsia="zh-CN" w:bidi="ar"/>
              </w:rPr>
              <w:t xml:space="preserve">）投标文件载明的招标项目完成期限未超过采购文件规定的时限。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0</w:t>
            </w:r>
            <w:r>
              <w:rPr>
                <w:rFonts w:hint="eastAsia" w:ascii="宋体" w:hAnsi="宋体" w:eastAsia="宋体" w:cs="宋体"/>
                <w:color w:val="000000"/>
                <w:kern w:val="0"/>
                <w:sz w:val="22"/>
                <w:szCs w:val="22"/>
                <w:lang w:val="en-US" w:eastAsia="zh-CN" w:bidi="ar"/>
              </w:rPr>
              <w:t xml:space="preserve">）投标文件对采购文件的实质性要求和条件作出响应。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）权利义务符合采购文件规定：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投标人应接受采购文件规定的风险划分原则，未提出新的风险划分办法；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投标人未增加发包人的责任范围，或减少投标人义务；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投标人未提出不同的工程验收、计量、支付办法；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d.</w:t>
            </w:r>
            <w:r>
              <w:rPr>
                <w:rFonts w:hint="eastAsia" w:ascii="宋体" w:hAnsi="宋体" w:eastAsia="宋体" w:cs="宋体"/>
                <w:color w:val="000000"/>
                <w:kern w:val="0"/>
                <w:sz w:val="22"/>
                <w:szCs w:val="22"/>
                <w:lang w:val="en-US" w:eastAsia="zh-CN" w:bidi="ar"/>
              </w:rPr>
              <w:t xml:space="preserve">投标人对合同纠纷、事故处理办法未提出异议；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e.</w:t>
            </w:r>
            <w:r>
              <w:rPr>
                <w:rFonts w:hint="eastAsia" w:ascii="宋体" w:hAnsi="宋体" w:eastAsia="宋体" w:cs="宋体"/>
                <w:color w:val="000000"/>
                <w:kern w:val="0"/>
                <w:sz w:val="22"/>
                <w:szCs w:val="22"/>
                <w:lang w:val="en-US" w:eastAsia="zh-CN" w:bidi="ar"/>
              </w:rPr>
              <w:t xml:space="preserve">投标人在投标活动中无欺诈行为；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f.</w:t>
            </w:r>
            <w:r>
              <w:rPr>
                <w:rFonts w:hint="eastAsia" w:ascii="宋体" w:hAnsi="宋体" w:eastAsia="宋体" w:cs="宋体"/>
                <w:color w:val="000000"/>
                <w:kern w:val="0"/>
                <w:sz w:val="22"/>
                <w:szCs w:val="22"/>
                <w:lang w:val="en-US" w:eastAsia="zh-CN" w:bidi="ar"/>
              </w:rPr>
              <w:t xml:space="preserve">投标人未对合同条款有重要保留。 </w:t>
            </w:r>
          </w:p>
          <w:p>
            <w:pPr>
              <w:keepNext w:val="0"/>
              <w:keepLines w:val="0"/>
              <w:widowControl/>
              <w:suppressLineNumbers w:val="0"/>
              <w:jc w:val="left"/>
              <w:rPr>
                <w:b w:val="0"/>
                <w:bCs w:val="0"/>
              </w:rPr>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w:t>
            </w:r>
            <w:r>
              <w:rPr>
                <w:rFonts w:hint="eastAsia" w:ascii="宋体" w:hAnsi="宋体" w:eastAsia="宋体" w:cs="宋体"/>
                <w:b w:val="0"/>
                <w:bCs w:val="0"/>
                <w:color w:val="000000"/>
                <w:kern w:val="0"/>
                <w:sz w:val="22"/>
                <w:szCs w:val="22"/>
                <w:lang w:val="en-US" w:eastAsia="zh-CN" w:bidi="ar"/>
              </w:rPr>
              <w:t xml:space="preserve">投标人网上报名的标段、投标保证金提交的标段和投标文件所投标 </w:t>
            </w:r>
          </w:p>
          <w:p>
            <w:pPr>
              <w:keepNext w:val="0"/>
              <w:keepLines w:val="0"/>
              <w:widowControl/>
              <w:suppressLineNumbers w:val="0"/>
              <w:jc w:val="left"/>
            </w:pPr>
            <w:r>
              <w:rPr>
                <w:rFonts w:hint="eastAsia" w:ascii="宋体" w:hAnsi="宋体" w:eastAsia="宋体" w:cs="宋体"/>
                <w:b w:val="0"/>
                <w:bCs w:val="0"/>
                <w:color w:val="000000"/>
                <w:kern w:val="0"/>
                <w:sz w:val="22"/>
                <w:szCs w:val="22"/>
                <w:lang w:val="en-US" w:eastAsia="zh-CN" w:bidi="ar"/>
              </w:rPr>
              <w:t>段一致。</w:t>
            </w:r>
            <w:r>
              <w:rPr>
                <w:rFonts w:hint="eastAsia" w:ascii="宋体" w:hAnsi="宋体" w:eastAsia="宋体" w:cs="宋体"/>
                <w:b/>
                <w:bCs/>
                <w:color w:val="000000"/>
                <w:kern w:val="0"/>
                <w:sz w:val="22"/>
                <w:szCs w:val="22"/>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）投标人对其信誉情况的承诺与事实相符。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）投标文件未附有采购人不能接受的条件。 </w:t>
            </w:r>
          </w:p>
          <w:p>
            <w:pPr>
              <w:keepNext w:val="0"/>
              <w:keepLines w:val="0"/>
              <w:widowControl/>
              <w:suppressLineNumbers w:val="0"/>
              <w:jc w:val="left"/>
            </w:pPr>
            <w:r>
              <w:rPr>
                <w:rFonts w:hint="eastAsia" w:ascii="黑体" w:hAnsi="宋体" w:eastAsia="黑体" w:cs="黑体"/>
                <w:color w:val="000000"/>
                <w:kern w:val="0"/>
                <w:sz w:val="22"/>
                <w:szCs w:val="22"/>
                <w:lang w:val="en-US" w:eastAsia="zh-CN" w:bidi="ar"/>
              </w:rPr>
              <w:t xml:space="preserve">第二个信封（报价文件）评审标准：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1</w:t>
            </w:r>
            <w:r>
              <w:rPr>
                <w:rFonts w:hint="eastAsia" w:ascii="宋体" w:hAnsi="宋体" w:eastAsia="宋体" w:cs="宋体"/>
                <w:color w:val="000000"/>
                <w:kern w:val="0"/>
                <w:sz w:val="22"/>
                <w:szCs w:val="22"/>
                <w:lang w:val="en-US" w:eastAsia="zh-CN" w:bidi="ar"/>
              </w:rPr>
              <w:t xml:space="preserve">）报价文件按照采购文件规定的格式、内容填写，字迹清晰可辨：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a.</w:t>
            </w:r>
            <w:r>
              <w:rPr>
                <w:rFonts w:hint="eastAsia" w:ascii="宋体" w:hAnsi="宋体" w:eastAsia="宋体" w:cs="宋体"/>
                <w:color w:val="000000"/>
                <w:kern w:val="0"/>
                <w:sz w:val="22"/>
                <w:szCs w:val="22"/>
                <w:lang w:val="en-US" w:eastAsia="zh-CN" w:bidi="ar"/>
              </w:rPr>
              <w:t xml:space="preserve">投标函按采购文件规定填报了采购人名称、项目名称、标段号、补遗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 xml:space="preserve">书编号（如有）、投标价（包括大写金额和小写金额）；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b.</w:t>
            </w:r>
            <w:r>
              <w:rPr>
                <w:rFonts w:hint="eastAsia" w:ascii="宋体" w:hAnsi="宋体" w:eastAsia="宋体" w:cs="宋体"/>
                <w:color w:val="000000"/>
                <w:kern w:val="0"/>
                <w:sz w:val="22"/>
                <w:szCs w:val="22"/>
                <w:lang w:val="en-US" w:eastAsia="zh-CN" w:bidi="ar"/>
              </w:rPr>
              <w:t xml:space="preserve">已标价工程量清单及说明文字与采购文件规定一致，未进行实质性修改和删减；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c.</w:t>
            </w:r>
            <w:r>
              <w:rPr>
                <w:rFonts w:hint="eastAsia" w:ascii="宋体" w:hAnsi="宋体" w:eastAsia="宋体" w:cs="宋体"/>
                <w:color w:val="000000"/>
                <w:kern w:val="0"/>
                <w:sz w:val="22"/>
                <w:szCs w:val="22"/>
                <w:lang w:val="en-US" w:eastAsia="zh-CN" w:bidi="ar"/>
              </w:rPr>
              <w:t xml:space="preserve">工程量清单中的投标报价与投标函大写金额报价一致； </w:t>
            </w:r>
          </w:p>
          <w:p>
            <w:pPr>
              <w:keepNext w:val="0"/>
              <w:keepLines w:val="0"/>
              <w:widowControl/>
              <w:suppressLineNumbers w:val="0"/>
              <w:jc w:val="left"/>
            </w:pPr>
            <w:r>
              <w:rPr>
                <w:rFonts w:hint="default" w:ascii="Times New Roman" w:hAnsi="Times New Roman" w:eastAsia="宋体" w:cs="Times New Roman"/>
                <w:color w:val="000000"/>
                <w:kern w:val="0"/>
                <w:sz w:val="22"/>
                <w:szCs w:val="22"/>
                <w:lang w:val="en-US" w:eastAsia="zh-CN" w:bidi="ar"/>
              </w:rPr>
              <w:t>d.</w:t>
            </w:r>
            <w:r>
              <w:rPr>
                <w:rFonts w:hint="eastAsia" w:ascii="宋体" w:hAnsi="宋体" w:eastAsia="宋体" w:cs="宋体"/>
                <w:color w:val="000000"/>
                <w:kern w:val="0"/>
                <w:sz w:val="22"/>
                <w:szCs w:val="22"/>
                <w:lang w:val="en-US" w:eastAsia="zh-CN" w:bidi="ar"/>
              </w:rPr>
              <w:t xml:space="preserve">投标文件组成齐全完整，内容均按规定填写。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2</w:t>
            </w:r>
            <w:r>
              <w:rPr>
                <w:rFonts w:hint="eastAsia" w:ascii="宋体" w:hAnsi="宋体" w:eastAsia="宋体" w:cs="宋体"/>
                <w:color w:val="000000"/>
                <w:kern w:val="0"/>
                <w:sz w:val="22"/>
                <w:szCs w:val="22"/>
                <w:lang w:val="en-US" w:eastAsia="zh-CN" w:bidi="ar"/>
              </w:rPr>
              <w:t xml:space="preserve">）报价文件上法定代表人或其授权代理人的签字、投标人的单位章盖章齐全，符合采购文件规定。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3</w:t>
            </w:r>
            <w:r>
              <w:rPr>
                <w:rFonts w:hint="eastAsia" w:ascii="宋体" w:hAnsi="宋体" w:eastAsia="宋体" w:cs="宋体"/>
                <w:color w:val="000000"/>
                <w:kern w:val="0"/>
                <w:sz w:val="22"/>
                <w:szCs w:val="22"/>
                <w:lang w:val="en-US" w:eastAsia="zh-CN" w:bidi="ar"/>
              </w:rPr>
              <w:t xml:space="preserve">）投标报价未超过采购文件设定的最高投标限价（如有）。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4</w:t>
            </w:r>
            <w:r>
              <w:rPr>
                <w:rFonts w:hint="eastAsia" w:ascii="宋体" w:hAnsi="宋体" w:eastAsia="宋体" w:cs="宋体"/>
                <w:color w:val="000000"/>
                <w:kern w:val="0"/>
                <w:sz w:val="22"/>
                <w:szCs w:val="22"/>
                <w:lang w:val="en-US" w:eastAsia="zh-CN" w:bidi="ar"/>
              </w:rPr>
              <w:t xml:space="preserve">）投标报价的大写金额能够确定具体数值。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5</w:t>
            </w:r>
            <w:r>
              <w:rPr>
                <w:rFonts w:hint="eastAsia" w:ascii="宋体" w:hAnsi="宋体" w:eastAsia="宋体" w:cs="宋体"/>
                <w:color w:val="000000"/>
                <w:kern w:val="0"/>
                <w:sz w:val="22"/>
                <w:szCs w:val="22"/>
                <w:lang w:val="en-US" w:eastAsia="zh-CN" w:bidi="ar"/>
              </w:rPr>
              <w:t xml:space="preserve">）同一投标人未提交两个以上不同的投标报价。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6</w:t>
            </w:r>
            <w:r>
              <w:rPr>
                <w:rFonts w:hint="eastAsia" w:ascii="宋体" w:hAnsi="宋体" w:eastAsia="宋体" w:cs="宋体"/>
                <w:color w:val="000000"/>
                <w:kern w:val="0"/>
                <w:sz w:val="22"/>
                <w:szCs w:val="22"/>
                <w:lang w:val="en-US" w:eastAsia="zh-CN" w:bidi="ar"/>
              </w:rPr>
              <w:t>）投标人未提交调价函。 （如有）</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w:t>
            </w:r>
            <w:r>
              <w:rPr>
                <w:rFonts w:hint="default" w:ascii="Times New Roman" w:hAnsi="Times New Roman" w:eastAsia="宋体" w:cs="Times New Roman"/>
                <w:color w:val="000000"/>
                <w:kern w:val="0"/>
                <w:sz w:val="22"/>
                <w:szCs w:val="22"/>
                <w:lang w:val="en-US" w:eastAsia="zh-CN" w:bidi="ar"/>
              </w:rPr>
              <w:t>7</w:t>
            </w:r>
            <w:r>
              <w:rPr>
                <w:rFonts w:hint="eastAsia" w:ascii="宋体" w:hAnsi="宋体" w:eastAsia="宋体" w:cs="宋体"/>
                <w:color w:val="000000"/>
                <w:kern w:val="0"/>
                <w:sz w:val="22"/>
                <w:szCs w:val="22"/>
                <w:lang w:val="en-US" w:eastAsia="zh-CN" w:bidi="ar"/>
              </w:rPr>
              <w:t xml:space="preserve">）投标人若填写工程量固化清单，填写完毕的工程量固化清单未对工程 </w:t>
            </w:r>
          </w:p>
          <w:p>
            <w:pPr>
              <w:keepNext w:val="0"/>
              <w:keepLines w:val="0"/>
              <w:widowControl/>
              <w:suppressLineNumbers w:val="0"/>
              <w:jc w:val="left"/>
            </w:pPr>
            <w:r>
              <w:rPr>
                <w:rFonts w:hint="eastAsia" w:ascii="宋体" w:hAnsi="宋体" w:eastAsia="宋体" w:cs="宋体"/>
                <w:color w:val="000000"/>
                <w:kern w:val="0"/>
                <w:sz w:val="22"/>
                <w:szCs w:val="22"/>
                <w:lang w:val="en-US" w:eastAsia="zh-CN" w:bidi="ar"/>
              </w:rPr>
              <w:t>量固化清单电子文件中的数据、格式和运算定义进行修改。 （如有）</w:t>
            </w:r>
          </w:p>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val="en-US" w:eastAsia="zh-CN" w:bidi="ar"/>
              </w:rPr>
              <w:t>（</w:t>
            </w:r>
            <w:r>
              <w:rPr>
                <w:rFonts w:hint="eastAsia" w:ascii="Times New Roman" w:hAnsi="Times New Roman" w:eastAsia="宋体" w:cs="Times New Roman"/>
                <w:color w:val="000000"/>
                <w:kern w:val="0"/>
                <w:sz w:val="22"/>
                <w:szCs w:val="22"/>
                <w:lang w:val="en-US" w:eastAsia="zh-CN" w:bidi="ar"/>
              </w:rPr>
              <w:t>8</w:t>
            </w:r>
            <w:r>
              <w:rPr>
                <w:rFonts w:hint="eastAsia" w:ascii="宋体" w:hAnsi="宋体" w:eastAsia="宋体" w:cs="宋体"/>
                <w:color w:val="000000"/>
                <w:kern w:val="0"/>
                <w:sz w:val="22"/>
                <w:szCs w:val="22"/>
                <w:lang w:val="en-US" w:eastAsia="zh-CN" w:bidi="ar"/>
              </w:rPr>
              <w:t>）未附有采购人不能接受的条件。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1096"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资格评审</w:t>
            </w:r>
          </w:p>
          <w:p>
            <w:pPr>
              <w:keepNext w:val="0"/>
              <w:keepLines w:val="0"/>
              <w:widowControl/>
              <w:suppressLineNumbers w:val="0"/>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val="en-US" w:eastAsia="zh-CN" w:bidi="ar"/>
              </w:rPr>
              <w:t>标准</w:t>
            </w:r>
          </w:p>
        </w:tc>
        <w:tc>
          <w:tcPr>
            <w:tcW w:w="7418" w:type="dxa"/>
            <w:tcMar>
              <w:left w:w="75" w:type="dxa"/>
            </w:tcMar>
            <w:vAlign w:val="center"/>
          </w:tcPr>
          <w:p>
            <w:pPr>
              <w:keepNext/>
              <w:keepLines/>
              <w:pageBreakBefore w:val="0"/>
              <w:widowControl w:val="0"/>
              <w:numPr>
                <w:numId w:val="0"/>
              </w:numPr>
              <w:kinsoku/>
              <w:wordWrap/>
              <w:overflowPunct/>
              <w:topLinePunct w:val="0"/>
              <w:autoSpaceDE/>
              <w:autoSpaceDN/>
              <w:bidi w:val="0"/>
              <w:adjustRightInd/>
              <w:snapToGrid w:val="0"/>
              <w:spacing w:before="120" w:after="120" w:line="400" w:lineRule="exact"/>
              <w:jc w:val="both"/>
              <w:textAlignment w:val="auto"/>
              <w:outlineLvl w:val="1"/>
              <w:rPr>
                <w:rFonts w:hint="default" w:ascii="宋体" w:hAnsi="宋体" w:eastAsia="宋体" w:cs="宋体"/>
                <w:color w:val="auto"/>
                <w:kern w:val="0"/>
                <w:sz w:val="21"/>
                <w:szCs w:val="21"/>
                <w:highlight w:val="none"/>
                <w:lang w:val="en-US"/>
              </w:rPr>
            </w:pPr>
            <w:r>
              <w:rPr>
                <w:rFonts w:hint="eastAsia" w:ascii="宋体" w:hAnsi="宋体" w:eastAsia="宋体" w:cs="宋体"/>
                <w:color w:val="000000"/>
                <w:kern w:val="0"/>
                <w:sz w:val="22"/>
                <w:szCs w:val="22"/>
                <w:lang w:val="en-US" w:eastAsia="zh-CN" w:bidi="ar"/>
              </w:rPr>
              <w:t>符合采购公告3.供应商资格条件 及采购文件格式要求。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3"/>
            <w:vAlign w:val="center"/>
          </w:tcPr>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sz w:val="21"/>
                <w:szCs w:val="21"/>
              </w:rPr>
              <w:t>响应文件不符合以上条件之一的，对该响应文件作否决其</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处理。</w:t>
            </w:r>
          </w:p>
        </w:tc>
      </w:tr>
    </w:tbl>
    <w:p>
      <w:pPr>
        <w:widowControl/>
        <w:spacing w:line="360" w:lineRule="atLeast"/>
        <w:jc w:val="center"/>
        <w:rPr>
          <w:rFonts w:ascii="Times New Roman" w:hAnsi="Times New Roman" w:cs="Times New Roma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4"/>
        <w:numPr>
          <w:ilvl w:val="0"/>
          <w:numId w:val="0"/>
        </w:numPr>
        <w:spacing w:before="0"/>
        <w:outlineLvl w:val="9"/>
        <w:rPr>
          <w:rFonts w:hint="eastAsia" w:ascii="宋体" w:hAnsi="宋体" w:eastAsia="宋体"/>
          <w:b/>
          <w:bCs/>
          <w:szCs w:val="28"/>
        </w:rPr>
      </w:pPr>
      <w:r>
        <w:rPr>
          <w:rFonts w:hint="eastAsia" w:ascii="宋体" w:hAnsi="宋体" w:eastAsia="宋体"/>
          <w:b/>
          <w:bCs/>
          <w:szCs w:val="28"/>
        </w:rPr>
        <w:t>前附表B</w:t>
      </w:r>
    </w:p>
    <w:tbl>
      <w:tblPr>
        <w:tblStyle w:val="19"/>
        <w:tblpPr w:leftFromText="180" w:rightFromText="180" w:vertAnchor="text" w:horzAnchor="page" w:tblpX="1860" w:tblpY="200"/>
        <w:tblOverlap w:val="never"/>
        <w:tblW w:w="53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860"/>
        <w:gridCol w:w="6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25" w:type="dxa"/>
            <w:vAlign w:val="center"/>
          </w:tcPr>
          <w:p>
            <w:pPr>
              <w:pStyle w:val="2"/>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条款号</w:t>
            </w:r>
          </w:p>
        </w:tc>
        <w:tc>
          <w:tcPr>
            <w:tcW w:w="186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条款内容</w:t>
            </w:r>
          </w:p>
        </w:tc>
        <w:tc>
          <w:tcPr>
            <w:tcW w:w="6388" w:type="dxa"/>
            <w:vAlign w:val="center"/>
          </w:tcPr>
          <w:p>
            <w:pPr>
              <w:adjustRightInd w:val="0"/>
              <w:spacing w:line="276"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5" w:type="dxa"/>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2.2.1</w:t>
            </w:r>
          </w:p>
        </w:tc>
        <w:tc>
          <w:tcPr>
            <w:tcW w:w="1860" w:type="dxa"/>
            <w:vAlign w:val="center"/>
          </w:tcPr>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第一个信封</w:t>
            </w:r>
          </w:p>
          <w:p>
            <w:pPr>
              <w:keepNext w:val="0"/>
              <w:keepLines w:val="0"/>
              <w:widowControl/>
              <w:suppressLineNumbers w:val="0"/>
              <w:jc w:val="center"/>
            </w:pPr>
            <w:r>
              <w:rPr>
                <w:rFonts w:hint="eastAsia" w:ascii="宋体" w:hAnsi="宋体" w:eastAsia="宋体" w:cs="宋体"/>
                <w:color w:val="000000"/>
                <w:kern w:val="0"/>
                <w:sz w:val="22"/>
                <w:szCs w:val="22"/>
                <w:lang w:val="en-US" w:eastAsia="zh-CN" w:bidi="ar"/>
              </w:rPr>
              <w:t>评分分值构</w:t>
            </w:r>
          </w:p>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2"/>
                <w:szCs w:val="22"/>
                <w:lang w:val="en-US" w:eastAsia="zh-CN" w:bidi="ar"/>
              </w:rPr>
              <w:t>成</w:t>
            </w:r>
            <w:r>
              <w:rPr>
                <w:rFonts w:hint="eastAsia" w:ascii="宋体" w:hAnsi="宋体" w:eastAsia="宋体" w:cs="宋体"/>
                <w:sz w:val="21"/>
                <w:szCs w:val="21"/>
              </w:rPr>
              <w:t>（总分100分）</w:t>
            </w:r>
          </w:p>
        </w:tc>
        <w:tc>
          <w:tcPr>
            <w:tcW w:w="6388"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商务技术文件评分分值构成</w:t>
            </w:r>
            <w:r>
              <w:rPr>
                <w:rFonts w:hint="eastAsia" w:ascii="宋体" w:hAnsi="宋体" w:eastAsia="宋体" w:cs="宋体"/>
                <w:b/>
                <w:bCs/>
                <w:sz w:val="21"/>
                <w:szCs w:val="21"/>
                <w:lang w:eastAsia="zh-CN"/>
              </w:rPr>
              <w:t>：</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highlight w:val="none"/>
                <w:u w:val="single"/>
                <w:lang w:val="en-US" w:eastAsia="zh-CN"/>
              </w:rPr>
              <w:t xml:space="preserve">100 </w:t>
            </w:r>
            <w:r>
              <w:rPr>
                <w:rFonts w:hint="eastAsia" w:ascii="宋体" w:hAnsi="宋体" w:eastAsia="宋体" w:cs="宋体"/>
                <w:b/>
                <w:bCs/>
                <w:sz w:val="21"/>
                <w:szCs w:val="21"/>
                <w:highlight w:val="none"/>
              </w:rPr>
              <w:t>分</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业    绩：</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30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pStyle w:val="2"/>
              <w:keepNext w:val="0"/>
              <w:keepLines w:val="0"/>
              <w:pageBreakBefore w:val="0"/>
              <w:widowControl w:val="0"/>
              <w:kinsoku/>
              <w:wordWrap/>
              <w:overflowPunct/>
              <w:topLinePunct w:val="0"/>
              <w:autoSpaceDE/>
              <w:autoSpaceDN/>
              <w:bidi w:val="0"/>
              <w:snapToGrid/>
              <w:spacing w:after="0" w:line="240" w:lineRule="auto"/>
              <w:textAlignment w:val="auto"/>
              <w:rPr>
                <w:rFonts w:hint="eastAsia"/>
              </w:rPr>
            </w:pPr>
            <w:r>
              <w:rPr>
                <w:rFonts w:hint="eastAsia" w:ascii="宋体" w:hAnsi="宋体" w:eastAsia="宋体" w:cs="宋体"/>
                <w:sz w:val="21"/>
                <w:szCs w:val="21"/>
                <w:lang w:val="en-US" w:eastAsia="zh-CN"/>
              </w:rPr>
              <w:t>企业实力：</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20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bookmarkStart w:id="154" w:name="_GoBack"/>
            <w:bookmarkEnd w:id="154"/>
          </w:p>
          <w:p>
            <w:pPr>
              <w:pStyle w:val="2"/>
              <w:keepNext w:val="0"/>
              <w:keepLines w:val="0"/>
              <w:pageBreakBefore w:val="0"/>
              <w:widowControl w:val="0"/>
              <w:kinsoku/>
              <w:wordWrap/>
              <w:overflowPunct/>
              <w:topLinePunct w:val="0"/>
              <w:autoSpaceDE/>
              <w:autoSpaceDN/>
              <w:bidi w:val="0"/>
              <w:snapToGrid/>
              <w:spacing w:after="0" w:line="240" w:lineRule="auto"/>
              <w:textAlignment w:val="auto"/>
              <w:rPr>
                <w:rFonts w:hint="eastAsia" w:eastAsia="宋体"/>
                <w:lang w:val="en-US" w:eastAsia="zh-CN"/>
              </w:rPr>
            </w:pPr>
            <w:r>
              <w:rPr>
                <w:rFonts w:hint="eastAsia" w:ascii="宋体" w:hAnsi="宋体" w:eastAsia="宋体" w:cs="宋体"/>
                <w:sz w:val="21"/>
                <w:szCs w:val="21"/>
                <w:lang w:val="en-US" w:eastAsia="zh-CN"/>
              </w:rPr>
              <w:t>检测报告：</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20 </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供货方案：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30</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925" w:type="dxa"/>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2.2.2</w:t>
            </w:r>
          </w:p>
        </w:tc>
        <w:tc>
          <w:tcPr>
            <w:tcW w:w="1860" w:type="dxa"/>
            <w:vAlign w:val="center"/>
          </w:tcPr>
          <w:p>
            <w:pPr>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color w:val="000000"/>
                <w:kern w:val="0"/>
                <w:sz w:val="22"/>
                <w:szCs w:val="22"/>
                <w:highlight w:val="none"/>
                <w:lang w:val="en-US" w:eastAsia="zh-CN" w:bidi="ar"/>
              </w:rPr>
              <w:t>通过第一个信封详细评审的投标人数量</w:t>
            </w:r>
          </w:p>
        </w:tc>
        <w:tc>
          <w:tcPr>
            <w:tcW w:w="6388"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通过第一个信封详细评审的投标人数量 </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按照投标人的商务和技术得分由高到低排序，排序前</w:t>
            </w:r>
            <w:r>
              <w:rPr>
                <w:rFonts w:hint="default" w:ascii="宋体" w:hAnsi="宋体" w:eastAsia="宋体" w:cs="宋体"/>
                <w:color w:val="000000"/>
                <w:kern w:val="0"/>
                <w:sz w:val="21"/>
                <w:szCs w:val="21"/>
                <w:lang w:val="en-US" w:eastAsia="zh-CN" w:bidi="ar"/>
              </w:rPr>
              <w:t xml:space="preserve"> 3 </w:t>
            </w:r>
            <w:r>
              <w:rPr>
                <w:rFonts w:hint="eastAsia" w:ascii="宋体" w:hAnsi="宋体" w:eastAsia="宋体" w:cs="宋体"/>
                <w:color w:val="000000"/>
                <w:kern w:val="0"/>
                <w:sz w:val="21"/>
                <w:szCs w:val="21"/>
                <w:lang w:val="en-US" w:eastAsia="zh-CN" w:bidi="ar"/>
              </w:rPr>
              <w:t xml:space="preserve">家通 </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过评审，进入第二个信封报价文件开启和评审（若报价文件出现废标情形，从第4名依次递补入围）。如出现第一个信封 </w:t>
            </w:r>
          </w:p>
          <w:p>
            <w:pPr>
              <w:keepNext w:val="0"/>
              <w:keepLines w:val="0"/>
              <w:widowControl/>
              <w:suppressLineNumbers w:val="0"/>
              <w:jc w:val="left"/>
              <w:rPr>
                <w:rFonts w:hint="eastAsia" w:ascii="宋体" w:hAnsi="宋体" w:eastAsia="宋体" w:cs="宋体"/>
                <w:sz w:val="21"/>
                <w:szCs w:val="21"/>
                <w:lang w:val="en-US" w:eastAsia="zh-CN"/>
              </w:rPr>
            </w:pPr>
            <w:r>
              <w:rPr>
                <w:rFonts w:hint="eastAsia" w:ascii="宋体" w:hAnsi="宋体" w:eastAsia="宋体" w:cs="宋体"/>
                <w:color w:val="000000"/>
                <w:kern w:val="0"/>
                <w:sz w:val="22"/>
                <w:szCs w:val="22"/>
                <w:lang w:val="en-US" w:eastAsia="zh-CN" w:bidi="ar"/>
              </w:rPr>
              <w:t>得分相同的情况，按照施工组织设计得分高低依次排列。</w:t>
            </w:r>
          </w:p>
        </w:tc>
      </w:tr>
    </w:tbl>
    <w:tbl>
      <w:tblPr>
        <w:tblStyle w:val="19"/>
        <w:tblpPr w:leftFromText="180" w:rightFromText="180" w:vertAnchor="text" w:horzAnchor="page" w:tblpX="1763" w:tblpY="284"/>
        <w:tblOverlap w:val="never"/>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10"/>
        <w:gridCol w:w="899"/>
        <w:gridCol w:w="1650"/>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Header/>
        </w:trPr>
        <w:tc>
          <w:tcPr>
            <w:tcW w:w="986" w:type="pct"/>
            <w:gridSpan w:val="2"/>
            <w:vAlign w:val="center"/>
          </w:tcPr>
          <w:p>
            <w:pPr>
              <w:pStyle w:val="2"/>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条款号</w:t>
            </w:r>
          </w:p>
        </w:tc>
        <w:tc>
          <w:tcPr>
            <w:tcW w:w="899" w:type="pc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分值构成</w:t>
            </w:r>
          </w:p>
        </w:tc>
        <w:tc>
          <w:tcPr>
            <w:tcW w:w="3114" w:type="pc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trPr>
        <w:tc>
          <w:tcPr>
            <w:tcW w:w="496" w:type="pct"/>
            <w:vMerge w:val="restart"/>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2.2.4</w:t>
            </w:r>
          </w:p>
          <w:p>
            <w:pPr>
              <w:pStyle w:val="2"/>
              <w:adjustRightInd w:val="0"/>
              <w:snapToGrid w:val="0"/>
              <w:rPr>
                <w:rFonts w:hint="eastAsia" w:ascii="宋体" w:hAnsi="宋体" w:eastAsia="宋体" w:cs="宋体"/>
                <w:sz w:val="21"/>
                <w:szCs w:val="21"/>
                <w:highlight w:val="none"/>
              </w:rPr>
            </w:pPr>
          </w:p>
        </w:tc>
        <w:tc>
          <w:tcPr>
            <w:tcW w:w="490" w:type="pct"/>
            <w:vMerge w:val="restart"/>
            <w:vAlign w:val="center"/>
          </w:tcPr>
          <w:p>
            <w:pPr>
              <w:pStyle w:val="2"/>
              <w:adjustRightInd w:val="0"/>
              <w:snapToGrid w:val="0"/>
              <w:ind w:left="210" w:hanging="210" w:hangingChars="1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商务技术  文件</w:t>
            </w:r>
          </w:p>
        </w:tc>
        <w:tc>
          <w:tcPr>
            <w:tcW w:w="899"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企业业绩</w:t>
            </w:r>
          </w:p>
          <w:p>
            <w:pPr>
              <w:pStyle w:val="2"/>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30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4" w:type="pct"/>
            <w:vAlign w:val="center"/>
          </w:tcPr>
          <w:p>
            <w:pPr>
              <w:pStyle w:val="2"/>
              <w:adjustRightInd w:val="0"/>
              <w:snapToGrid w:val="0"/>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满足资格审查条件业绩最低要求得</w:t>
            </w:r>
            <w:r>
              <w:rPr>
                <w:rFonts w:hint="eastAsia" w:ascii="宋体" w:hAnsi="宋体" w:eastAsia="宋体" w:cs="宋体"/>
                <w:sz w:val="21"/>
                <w:szCs w:val="21"/>
                <w:highlight w:val="none"/>
                <w:u w:val="single"/>
                <w:lang w:val="en-US" w:eastAsia="zh-CN"/>
              </w:rPr>
              <w:t xml:space="preserve">  18 </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在此基础上，</w:t>
            </w:r>
            <w:r>
              <w:rPr>
                <w:rFonts w:hint="eastAsia" w:ascii="宋体" w:hAnsi="宋体" w:eastAsia="宋体" w:cs="宋体"/>
                <w:color w:val="auto"/>
                <w:sz w:val="21"/>
                <w:szCs w:val="21"/>
                <w:highlight w:val="none"/>
                <w:lang w:val="en-US" w:eastAsia="zh-CN"/>
              </w:rPr>
              <w:t>每多提供一个类似业绩加</w:t>
            </w:r>
            <w:r>
              <w:rPr>
                <w:rFonts w:hint="eastAsia" w:ascii="宋体" w:hAnsi="宋体" w:eastAsia="宋体" w:cs="宋体"/>
                <w:color w:val="auto"/>
                <w:sz w:val="21"/>
                <w:szCs w:val="21"/>
                <w:highlight w:val="none"/>
                <w:u w:val="single"/>
                <w:lang w:val="en-US" w:eastAsia="zh-CN"/>
              </w:rPr>
              <w:t xml:space="preserve">  3 </w:t>
            </w:r>
            <w:r>
              <w:rPr>
                <w:rFonts w:hint="eastAsia" w:ascii="宋体" w:hAnsi="宋体" w:eastAsia="宋体" w:cs="宋体"/>
                <w:color w:val="auto"/>
                <w:sz w:val="21"/>
                <w:szCs w:val="21"/>
                <w:highlight w:val="none"/>
                <w:lang w:val="en-US" w:eastAsia="zh-CN"/>
              </w:rPr>
              <w:t>分，累计最多加</w:t>
            </w:r>
            <w:r>
              <w:rPr>
                <w:rFonts w:hint="eastAsia" w:ascii="宋体" w:hAnsi="宋体" w:eastAsia="宋体" w:cs="宋体"/>
                <w:color w:val="auto"/>
                <w:sz w:val="21"/>
                <w:szCs w:val="21"/>
                <w:highlight w:val="none"/>
                <w:u w:val="single"/>
                <w:lang w:val="en-US" w:eastAsia="zh-CN"/>
              </w:rPr>
              <w:t xml:space="preserve"> 12 </w:t>
            </w:r>
            <w:r>
              <w:rPr>
                <w:rFonts w:hint="eastAsia" w:ascii="宋体" w:hAnsi="宋体" w:eastAsia="宋体" w:cs="宋体"/>
                <w:color w:val="auto"/>
                <w:sz w:val="21"/>
                <w:szCs w:val="21"/>
                <w:highlight w:val="none"/>
              </w:rPr>
              <w:t>分。</w:t>
            </w:r>
          </w:p>
          <w:p>
            <w:pPr>
              <w:rPr>
                <w:rFonts w:hint="default" w:eastAsia="宋体"/>
                <w:lang w:val="en-US" w:eastAsia="zh-CN"/>
              </w:rPr>
            </w:pPr>
            <w:r>
              <w:rPr>
                <w:rFonts w:hint="eastAsia" w:ascii="宋体" w:hAnsi="宋体" w:eastAsia="宋体" w:cs="宋体"/>
                <w:color w:val="auto"/>
                <w:sz w:val="21"/>
                <w:szCs w:val="21"/>
                <w:highlight w:val="none"/>
                <w:lang w:val="en-US" w:eastAsia="zh-CN"/>
              </w:rPr>
              <w:t>备注：类似业绩指自2020年10月1日以来，单项合同额不低于100万元的家具供应合同业绩。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6"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lang w:val="en-US" w:eastAsia="zh-CN"/>
              </w:rPr>
              <w:t xml:space="preserve">检测报告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20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14" w:type="pct"/>
            <w:vAlign w:val="center"/>
          </w:tcPr>
          <w:p>
            <w:pPr>
              <w:spacing w:line="360" w:lineRule="auto"/>
              <w:rPr>
                <w:rFonts w:hint="default" w:ascii="宋体" w:hAnsi="宋体" w:cs="宋体" w:eastAsiaTheme="minorEastAsia"/>
                <w:sz w:val="21"/>
                <w:szCs w:val="21"/>
                <w:highlight w:val="none"/>
                <w:lang w:val="en-US" w:eastAsia="zh-CN"/>
              </w:rPr>
            </w:pPr>
            <w:r>
              <w:rPr>
                <w:rFonts w:hint="eastAsia" w:ascii="宋体" w:hAnsi="宋体" w:eastAsia="宋体" w:cs="宋体"/>
                <w:color w:val="auto"/>
                <w:kern w:val="0"/>
                <w:sz w:val="21"/>
                <w:szCs w:val="21"/>
                <w:u w:val="none"/>
                <w:lang w:val="en-US" w:eastAsia="zh-CN" w:bidi="ar"/>
              </w:rPr>
              <w:t>投标单位</w:t>
            </w:r>
            <w:r>
              <w:rPr>
                <w:rFonts w:hint="eastAsia" w:ascii="宋体" w:hAnsi="宋体"/>
                <w:kern w:val="0"/>
                <w:sz w:val="24"/>
              </w:rPr>
              <w:t>提供</w:t>
            </w:r>
            <w:r>
              <w:rPr>
                <w:rFonts w:hint="eastAsia" w:ascii="宋体" w:hAnsi="宋体"/>
                <w:kern w:val="0"/>
                <w:sz w:val="24"/>
                <w:lang w:val="en-US" w:eastAsia="zh-CN"/>
              </w:rPr>
              <w:t>检测合格期内</w:t>
            </w:r>
            <w:r>
              <w:rPr>
                <w:rFonts w:hint="eastAsia" w:ascii="宋体" w:hAnsi="宋体"/>
                <w:kern w:val="0"/>
                <w:sz w:val="24"/>
              </w:rPr>
              <w:t>经权威检测机构（具有CNAS或CMA认证的检验机构）出具的原材料检测合格报告，包括以下项目：水性</w:t>
            </w:r>
            <w:r>
              <w:rPr>
                <w:rFonts w:hint="eastAsia" w:ascii="宋体" w:hAnsi="宋体"/>
                <w:kern w:val="0"/>
                <w:sz w:val="24"/>
                <w:lang w:val="en-US" w:eastAsia="zh-CN"/>
              </w:rPr>
              <w:t>油</w:t>
            </w:r>
            <w:r>
              <w:rPr>
                <w:rFonts w:hint="eastAsia" w:ascii="宋体" w:hAnsi="宋体"/>
                <w:kern w:val="0"/>
                <w:sz w:val="24"/>
              </w:rPr>
              <w:t>漆、实木多层板</w:t>
            </w:r>
            <w:r>
              <w:rPr>
                <w:rFonts w:hint="eastAsia" w:ascii="宋体" w:hAnsi="宋体"/>
                <w:kern w:val="0"/>
                <w:sz w:val="24"/>
                <w:lang w:eastAsia="zh-CN"/>
              </w:rPr>
              <w:t>、</w:t>
            </w:r>
            <w:r>
              <w:rPr>
                <w:rFonts w:hint="eastAsia" w:ascii="宋体" w:hAnsi="宋体"/>
                <w:kern w:val="0"/>
                <w:sz w:val="24"/>
                <w:lang w:val="en-US" w:eastAsia="zh-CN"/>
              </w:rPr>
              <w:t>阻燃海绵、绒布、网布、木皮</w:t>
            </w:r>
            <w:r>
              <w:rPr>
                <w:rFonts w:hint="eastAsia" w:ascii="宋体" w:hAnsi="宋体"/>
                <w:kern w:val="0"/>
                <w:sz w:val="24"/>
              </w:rPr>
              <w:t>。</w:t>
            </w:r>
            <w:r>
              <w:rPr>
                <w:rFonts w:hint="eastAsia" w:ascii="宋体" w:hAnsi="宋体"/>
                <w:kern w:val="0"/>
                <w:sz w:val="24"/>
                <w:lang w:val="en-US" w:eastAsia="zh-CN"/>
              </w:rPr>
              <w:t>每提供一种材料的检测报告得4分，满分不超过20分。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6"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Align w:val="center"/>
          </w:tcPr>
          <w:p>
            <w:pPr>
              <w:pStyle w:val="2"/>
              <w:adjustRightInd w:val="0"/>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企业实力       （</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20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lang w:val="en-US" w:eastAsia="zh-CN"/>
              </w:rPr>
              <w:t>）</w:t>
            </w:r>
          </w:p>
        </w:tc>
        <w:tc>
          <w:tcPr>
            <w:tcW w:w="3114" w:type="pct"/>
            <w:vAlign w:val="center"/>
          </w:tcPr>
          <w:p>
            <w:pPr>
              <w:spacing w:line="360" w:lineRule="auto"/>
              <w:rPr>
                <w:rFonts w:hint="default"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提供投标单位（生产厂家）证书、厂房规模、机械（自有）、人员等证明企业实力的资料，实力较强得</w:t>
            </w:r>
            <w:r>
              <w:rPr>
                <w:rFonts w:hint="eastAsia" w:ascii="宋体" w:hAnsi="宋体" w:eastAsia="宋体" w:cs="宋体"/>
                <w:sz w:val="21"/>
                <w:szCs w:val="21"/>
                <w:highlight w:val="none"/>
                <w:lang w:val="en-US" w:eastAsia="zh-CN"/>
              </w:rPr>
              <w:t>得16-20分；一般得12-16分，较差得基础分12分，不提供不得分。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496" w:type="pct"/>
            <w:vMerge w:val="continue"/>
            <w:vAlign w:val="center"/>
          </w:tcPr>
          <w:p>
            <w:pPr>
              <w:pStyle w:val="2"/>
              <w:adjustRightInd w:val="0"/>
              <w:snapToGrid w:val="0"/>
              <w:rPr>
                <w:rFonts w:hint="eastAsia" w:ascii="宋体" w:hAnsi="宋体" w:eastAsia="宋体" w:cs="宋体"/>
                <w:sz w:val="21"/>
                <w:szCs w:val="21"/>
                <w:highlight w:val="none"/>
              </w:rPr>
            </w:pPr>
          </w:p>
        </w:tc>
        <w:tc>
          <w:tcPr>
            <w:tcW w:w="490" w:type="pct"/>
            <w:vMerge w:val="continue"/>
            <w:vAlign w:val="center"/>
          </w:tcPr>
          <w:p>
            <w:pPr>
              <w:pStyle w:val="2"/>
              <w:adjustRightInd w:val="0"/>
              <w:snapToGrid w:val="0"/>
              <w:rPr>
                <w:rFonts w:hint="eastAsia" w:ascii="宋体" w:hAnsi="宋体" w:eastAsia="宋体" w:cs="宋体"/>
                <w:sz w:val="21"/>
                <w:szCs w:val="21"/>
                <w:highlight w:val="none"/>
              </w:rPr>
            </w:pPr>
          </w:p>
        </w:tc>
        <w:tc>
          <w:tcPr>
            <w:tcW w:w="899"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供货方案</w:t>
            </w:r>
          </w:p>
          <w:p>
            <w:pPr>
              <w:pStyle w:val="2"/>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30  </w:t>
            </w:r>
            <w:r>
              <w:rPr>
                <w:rFonts w:hint="eastAsia" w:ascii="宋体" w:hAnsi="宋体" w:eastAsia="宋体" w:cs="宋体"/>
                <w:sz w:val="21"/>
                <w:szCs w:val="21"/>
                <w:highlight w:val="none"/>
              </w:rPr>
              <w:t>分）</w:t>
            </w:r>
          </w:p>
        </w:tc>
        <w:tc>
          <w:tcPr>
            <w:tcW w:w="3114" w:type="pct"/>
            <w:vAlign w:val="center"/>
          </w:tcPr>
          <w:p>
            <w:pPr>
              <w:pStyle w:val="2"/>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1、针对本项目材料的生产、供货、安装进度计划（须拟进度计划表</w:t>
            </w:r>
            <w:r>
              <w:rPr>
                <w:rFonts w:hint="eastAsia" w:ascii="宋体" w:hAnsi="宋体"/>
                <w:kern w:val="0"/>
                <w:sz w:val="24"/>
              </w:rPr>
              <w:t>）</w:t>
            </w:r>
            <w:r>
              <w:rPr>
                <w:rFonts w:hint="eastAsia" w:ascii="宋体" w:hAnsi="宋体" w:eastAsia="宋体" w:cs="宋体"/>
                <w:sz w:val="21"/>
                <w:szCs w:val="21"/>
                <w:highlight w:val="none"/>
                <w:lang w:val="en-US" w:eastAsia="zh-CN"/>
              </w:rPr>
              <w:t>具体、详细，可行性最优，针对性强得8-10分；一般得6-8分，较差得基础分6分。</w:t>
            </w:r>
          </w:p>
          <w:p>
            <w:pPr>
              <w:pStyle w:val="2"/>
              <w:adjustRightInd w:val="0"/>
              <w:snapToGrid w:val="0"/>
              <w:ind w:firstLine="210" w:firstLineChars="1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2、针对本项目的材料质量保证措施、运输、装卸及安装的安全保证措施，具体、详细，可行性最优，针对性强得8-10分；一般得6-8分，较差得基础分6分。</w:t>
            </w:r>
          </w:p>
          <w:p>
            <w:pPr>
              <w:pStyle w:val="2"/>
              <w:numPr>
                <w:ilvl w:val="0"/>
                <w:numId w:val="0"/>
              </w:numPr>
              <w:adjustRightInd w:val="0"/>
              <w:snapToGrid w:val="0"/>
              <w:ind w:firstLine="210" w:firstLineChars="1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3、针对本项目售后服务方案（包括备品备件、设备损坏维修及更换、应急处理、售后服务响应等内容）具体、详细，可行性最优，针对性强得8-10分；一般得6-8分，较差得基础分6分。</w:t>
            </w:r>
            <w:r>
              <w:rPr>
                <w:rFonts w:hint="eastAsia" w:ascii="宋体" w:hAnsi="宋体" w:eastAsia="宋体" w:cs="宋体"/>
                <w:sz w:val="21"/>
                <w:szCs w:val="21"/>
                <w:highlight w:val="none"/>
                <w:lang w:val="en-US" w:eastAsia="zh-CN" w:bidi="ar"/>
              </w:rPr>
              <w:t xml:space="preserve">                                                 </w:t>
            </w:r>
          </w:p>
        </w:tc>
      </w:tr>
    </w:tbl>
    <w:p>
      <w:pPr>
        <w:rPr>
          <w:rFonts w:hint="eastAsia" w:ascii="黑体" w:eastAsia="黑体"/>
          <w:sz w:val="30"/>
          <w:szCs w:val="30"/>
          <w:highlight w:val="none"/>
          <w:lang w:val="en-US" w:eastAsia="zh-CN"/>
        </w:rPr>
      </w:pPr>
      <w:r>
        <w:rPr>
          <w:rFonts w:hint="eastAsia" w:ascii="黑体" w:eastAsia="黑体"/>
          <w:sz w:val="30"/>
          <w:szCs w:val="30"/>
          <w:highlight w:val="none"/>
          <w:lang w:val="en-US" w:eastAsia="zh-CN"/>
        </w:rPr>
        <w:br w:type="page"/>
      </w:r>
    </w:p>
    <w:p>
      <w:pPr>
        <w:jc w:val="left"/>
        <w:rPr>
          <w:rFonts w:ascii="Times New Roman" w:hAnsi="Times New Roman" w:eastAsia="黑体" w:cs="Times New Roman"/>
          <w:bCs/>
          <w:sz w:val="24"/>
          <w:szCs w:val="32"/>
        </w:rPr>
      </w:pPr>
      <w:r>
        <w:rPr>
          <w:rFonts w:ascii="Times New Roman" w:hAnsi="Times New Roman" w:eastAsia="黑体" w:cs="Times New Roman"/>
          <w:bCs/>
          <w:sz w:val="24"/>
          <w:szCs w:val="32"/>
        </w:rPr>
        <w:t>1. 评审方法</w:t>
      </w:r>
    </w:p>
    <w:p>
      <w:pPr>
        <w:spacing w:line="440" w:lineRule="exact"/>
        <w:ind w:firstLine="420"/>
        <w:rPr>
          <w:rFonts w:hint="default" w:ascii="Times New Roman" w:hAnsi="Times New Roman" w:cs="Times New Roman"/>
          <w:lang w:val="en-US"/>
        </w:rPr>
      </w:pPr>
      <w:r>
        <w:rPr>
          <w:rFonts w:ascii="Times New Roman" w:hAnsi="Times New Roman" w:cs="Times New Roman"/>
        </w:rPr>
        <w:t>本次评审采用</w:t>
      </w:r>
      <w:r>
        <w:rPr>
          <w:rFonts w:hint="eastAsia" w:ascii="Times New Roman" w:hAnsi="Times New Roman" w:cs="Times New Roman"/>
          <w:lang w:val="en-US" w:eastAsia="zh-CN"/>
        </w:rPr>
        <w:t>技术评分最低价</w:t>
      </w:r>
      <w:r>
        <w:rPr>
          <w:rFonts w:ascii="Times New Roman" w:hAnsi="Times New Roman" w:cs="Times New Roman"/>
        </w:rPr>
        <w:t>。</w:t>
      </w:r>
      <w:r>
        <w:rPr>
          <w:rFonts w:hint="eastAsia" w:ascii="Times New Roman" w:hAnsi="Times New Roman" w:cs="Times New Roman"/>
        </w:rPr>
        <w:t>评审小组</w:t>
      </w:r>
      <w:r>
        <w:rPr>
          <w:rFonts w:ascii="Times New Roman" w:hAnsi="Times New Roman" w:cs="Times New Roman"/>
        </w:rPr>
        <w:t>对满足询比文件实质性要求的响应文件</w:t>
      </w:r>
      <w:r>
        <w:rPr>
          <w:rFonts w:hint="eastAsia" w:ascii="Times New Roman" w:hAnsi="Times New Roman" w:cs="Times New Roman"/>
          <w:lang w:eastAsia="zh-CN"/>
        </w:rPr>
        <w:t>（</w:t>
      </w:r>
      <w:r>
        <w:rPr>
          <w:rFonts w:hint="eastAsia" w:ascii="Times New Roman" w:hAnsi="Times New Roman" w:cs="Times New Roman"/>
          <w:lang w:val="en-US" w:eastAsia="zh-CN"/>
        </w:rPr>
        <w:t>第一信封 商务及技术文件）</w:t>
      </w:r>
      <w:r>
        <w:rPr>
          <w:rFonts w:ascii="Times New Roman" w:hAnsi="Times New Roman" w:cs="Times New Roman"/>
        </w:rPr>
        <w:t>按照本章规定的评分标准进行打分，</w:t>
      </w:r>
      <w:r>
        <w:rPr>
          <w:rFonts w:hint="eastAsia" w:ascii="宋体" w:hAnsi="宋体" w:eastAsia="宋体" w:cs="宋体"/>
          <w:color w:val="000000"/>
          <w:kern w:val="0"/>
          <w:sz w:val="21"/>
          <w:szCs w:val="21"/>
          <w:lang w:val="en-US" w:eastAsia="zh-CN" w:bidi="ar"/>
        </w:rPr>
        <w:t>按照投标人的商务和技术得分由高到低排序，排序前</w:t>
      </w:r>
      <w:r>
        <w:rPr>
          <w:rFonts w:hint="default" w:ascii="宋体" w:hAnsi="宋体" w:eastAsia="宋体" w:cs="宋体"/>
          <w:color w:val="000000"/>
          <w:kern w:val="0"/>
          <w:sz w:val="21"/>
          <w:szCs w:val="21"/>
          <w:lang w:val="en-US" w:eastAsia="zh-CN" w:bidi="ar"/>
        </w:rPr>
        <w:t xml:space="preserve"> 3 </w:t>
      </w:r>
      <w:r>
        <w:rPr>
          <w:rFonts w:hint="eastAsia" w:ascii="宋体" w:hAnsi="宋体" w:eastAsia="宋体" w:cs="宋体"/>
          <w:color w:val="000000"/>
          <w:kern w:val="0"/>
          <w:sz w:val="21"/>
          <w:szCs w:val="21"/>
          <w:lang w:val="en-US" w:eastAsia="zh-CN" w:bidi="ar"/>
        </w:rPr>
        <w:t>家通过评审，进入第二个信封报价文件开启和评审。按报价文件价格由低到高推荐成交候选人。</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cs="Times New Roman"/>
        </w:rPr>
      </w:pPr>
      <w:r>
        <w:rPr>
          <w:rFonts w:ascii="Times New Roman" w:hAnsi="Times New Roman" w:cs="Times New Roman"/>
        </w:rPr>
        <w:t>2.2.1分值构成：</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：见评审办法前附表。</w:t>
      </w:r>
    </w:p>
    <w:p>
      <w:pPr>
        <w:spacing w:line="440" w:lineRule="exact"/>
        <w:ind w:firstLine="420"/>
        <w:rPr>
          <w:rFonts w:ascii="Times New Roman" w:hAnsi="Times New Roman" w:cs="Times New Roman"/>
        </w:rPr>
      </w:pPr>
      <w:r>
        <w:rPr>
          <w:rFonts w:ascii="Times New Roman" w:hAnsi="Times New Roman" w:cs="Times New Roman"/>
        </w:rPr>
        <w:t>2.2.2 评审基准价计算</w:t>
      </w:r>
    </w:p>
    <w:p>
      <w:pPr>
        <w:spacing w:line="440" w:lineRule="exact"/>
        <w:ind w:firstLine="420"/>
        <w:rPr>
          <w:rFonts w:ascii="Times New Roman" w:hAnsi="Times New Roman" w:cs="Times New Roman"/>
        </w:rPr>
      </w:pPr>
      <w:r>
        <w:rPr>
          <w:rFonts w:ascii="Times New Roman" w:hAnsi="Times New Roman" w:cs="Times New Roman"/>
        </w:rPr>
        <w:t>评审基准价计算方法：见评审办法前附表。</w:t>
      </w:r>
    </w:p>
    <w:p>
      <w:pPr>
        <w:spacing w:line="440" w:lineRule="exact"/>
        <w:ind w:firstLine="420"/>
        <w:rPr>
          <w:rFonts w:ascii="Times New Roman" w:hAnsi="Times New Roman" w:cs="Times New Roman"/>
        </w:rPr>
      </w:pPr>
      <w:r>
        <w:rPr>
          <w:rFonts w:ascii="Times New Roman" w:hAnsi="Times New Roman" w:cs="Times New Roman"/>
        </w:rPr>
        <w:t>2.2.3 评审价的偏差率计算</w:t>
      </w:r>
    </w:p>
    <w:p>
      <w:pPr>
        <w:spacing w:line="440" w:lineRule="exact"/>
        <w:ind w:firstLine="420"/>
        <w:rPr>
          <w:rFonts w:ascii="Times New Roman" w:hAnsi="Times New Roman" w:cs="Times New Roman"/>
        </w:rPr>
      </w:pPr>
      <w:r>
        <w:rPr>
          <w:rFonts w:ascii="Times New Roman" w:hAnsi="Times New Roman" w:cs="Times New Roman"/>
        </w:rPr>
        <w:t>评审价的偏差率计算公式：见评审办法前附表。</w:t>
      </w:r>
    </w:p>
    <w:p>
      <w:pPr>
        <w:spacing w:line="440" w:lineRule="exact"/>
        <w:ind w:firstLine="420"/>
        <w:rPr>
          <w:rFonts w:ascii="Times New Roman" w:hAnsi="Times New Roman" w:cs="Times New Roman"/>
        </w:rPr>
      </w:pPr>
      <w:r>
        <w:rPr>
          <w:rFonts w:ascii="Times New Roman" w:hAnsi="Times New Roman" w:cs="Times New Roman"/>
        </w:rPr>
        <w:t>2.2.4评分标准：</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业绩</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技术性能</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供货方案</w:t>
      </w:r>
      <w:r>
        <w:rPr>
          <w:rFonts w:ascii="Times New Roman" w:hAnsi="Times New Roman" w:cs="Times New Roman"/>
        </w:rPr>
        <w:t>评分标准：见评审办法前附表；</w:t>
      </w:r>
    </w:p>
    <w:p>
      <w:pPr>
        <w:spacing w:line="440" w:lineRule="exact"/>
        <w:ind w:firstLine="42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评审价</w:t>
      </w:r>
      <w:r>
        <w:rPr>
          <w:rFonts w:ascii="Times New Roman" w:hAnsi="Times New Roman" w:cs="Times New Roman"/>
        </w:rPr>
        <w:t>评分标准：见评审办法前附表。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 xml:space="preserve"> 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w:t>
      </w:r>
      <w:r>
        <w:rPr>
          <w:rFonts w:hint="eastAsia" w:ascii="Times New Roman" w:hAnsi="Times New Roman" w:cs="Times New Roman"/>
        </w:rPr>
        <w:t>，且报价函中填写的内容满足询比文件要求</w:t>
      </w:r>
      <w:r>
        <w:rPr>
          <w:rFonts w:ascii="Times New Roman" w:hAnsi="Times New Roman" w:cs="Times New Roman"/>
        </w:rPr>
        <w:t>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3.1.3 </w:t>
      </w:r>
      <w:r>
        <w:rPr>
          <w:rFonts w:ascii="Times New Roman" w:hAnsi="Times New Roman" w:cs="Times New Roman"/>
        </w:rPr>
        <w:t>报价存在</w:t>
      </w:r>
      <w:r>
        <w:rPr>
          <w:rFonts w:hint="eastAsia" w:ascii="Times New Roman" w:hAnsi="Times New Roman" w:cs="Times New Roman"/>
        </w:rPr>
        <w:t>以下</w:t>
      </w:r>
      <w:r>
        <w:rPr>
          <w:rFonts w:ascii="Times New Roman" w:hAnsi="Times New Roman" w:cs="Times New Roman"/>
        </w:rPr>
        <w:t>细微偏差的，</w:t>
      </w:r>
      <w:r>
        <w:rPr>
          <w:rFonts w:hint="eastAsia" w:ascii="Times New Roman" w:hAnsi="Times New Roman" w:cs="Times New Roman"/>
        </w:rPr>
        <w:t>评审小组</w:t>
      </w:r>
      <w:r>
        <w:rPr>
          <w:rFonts w:ascii="Times New Roman" w:hAnsi="Times New Roman" w:cs="Times New Roman"/>
        </w:rPr>
        <w:t>按以上原则对报价进行处理，并要求供应商书面澄清确认，供应商拒不澄清确认的，</w:t>
      </w:r>
      <w:r>
        <w:rPr>
          <w:rFonts w:hint="eastAsia" w:ascii="Times New Roman" w:hAnsi="Times New Roman" w:cs="Times New Roman"/>
        </w:rPr>
        <w:t>评审小组</w:t>
      </w:r>
      <w:r>
        <w:rPr>
          <w:rFonts w:ascii="Times New Roman" w:hAnsi="Times New Roman" w:cs="Times New Roman"/>
        </w:rPr>
        <w:t>应当否决其报价。</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①响应文件中的大写金额与小写金额不一致的，以大写金额为准；</w:t>
      </w:r>
    </w:p>
    <w:p>
      <w:pPr>
        <w:spacing w:line="440" w:lineRule="exact"/>
        <w:ind w:firstLine="420"/>
        <w:rPr>
          <w:rFonts w:ascii="Times New Roman" w:hAnsi="Times New Roman" w:cs="Times New Roman"/>
        </w:rPr>
      </w:pPr>
      <w:r>
        <w:rPr>
          <w:rFonts w:ascii="Times New Roman" w:hAnsi="Times New Roman" w:cs="Times New Roman"/>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rPr>
      </w:pPr>
      <w:r>
        <w:rPr>
          <w:rFonts w:ascii="Times New Roman" w:hAnsi="Times New Roman" w:cs="Times New Roman"/>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hint="eastAsia" w:ascii="Times New Roman" w:hAnsi="Times New Roman" w:cs="Times New Roman"/>
        </w:rPr>
        <w:t>（2）报价</w:t>
      </w:r>
      <w:r>
        <w:rPr>
          <w:rFonts w:ascii="Times New Roman" w:hAnsi="Times New Roman" w:cs="Times New Roman"/>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rPr>
      </w:pPr>
      <w:r>
        <w:rPr>
          <w:rFonts w:ascii="Times New Roman" w:hAnsi="Times New Roman" w:cs="Times New Roman"/>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ascii="Times New Roman" w:hAnsi="Times New Roman" w:cs="Times New Roman"/>
        </w:rPr>
      </w:pPr>
      <w:r>
        <w:rPr>
          <w:rFonts w:ascii="Times New Roman" w:hAnsi="Times New Roman" w:cs="Times New Roman"/>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ascii="Times New Roman" w:hAnsi="Times New Roman" w:cs="Times New Roman"/>
        </w:rPr>
      </w:pPr>
      <w:r>
        <w:rPr>
          <w:rFonts w:ascii="Times New Roman" w:hAnsi="Times New Roman" w:cs="Times New Roman"/>
        </w:rPr>
        <w:t>③当单价与数量的乘积与合价（金额）虽然一致，但供应商修改了该子目的数量，则其合价按采购人给定的数量乘以供应商所报单价予以修正。</w:t>
      </w:r>
    </w:p>
    <w:p>
      <w:pPr>
        <w:spacing w:line="440" w:lineRule="exact"/>
        <w:ind w:firstLine="420"/>
        <w:rPr>
          <w:rFonts w:ascii="Times New Roman" w:hAnsi="Times New Roman" w:cs="Times New Roman"/>
        </w:rPr>
      </w:pPr>
      <w:r>
        <w:rPr>
          <w:rFonts w:ascii="Times New Roman" w:hAnsi="Times New Roman" w:cs="Times New Roman"/>
        </w:rPr>
        <w:t>④当各子目的合价累计不等于总价时，应以各子目合价累计数为准，修正总价。</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4 </w:t>
      </w:r>
      <w:r>
        <w:rPr>
          <w:rFonts w:ascii="Times New Roman" w:hAnsi="Times New Roman" w:cs="Times New Roman"/>
        </w:rPr>
        <w:t>修正后的最终报价若超过最高限价（如有），</w:t>
      </w:r>
      <w:r>
        <w:rPr>
          <w:rFonts w:hint="eastAsia" w:ascii="Times New Roman" w:hAnsi="Times New Roman" w:cs="Times New Roman"/>
        </w:rPr>
        <w:t>评审小组</w:t>
      </w:r>
      <w:r>
        <w:rPr>
          <w:rFonts w:ascii="Times New Roman" w:hAnsi="Times New Roman" w:cs="Times New Roman"/>
        </w:rPr>
        <w:t>应否决其报价。</w:t>
      </w:r>
    </w:p>
    <w:p>
      <w:pPr>
        <w:spacing w:line="440" w:lineRule="exact"/>
        <w:ind w:firstLine="420"/>
      </w:pPr>
      <w:r>
        <w:rPr>
          <w:rFonts w:ascii="Times New Roman" w:hAnsi="Times New Roman" w:cs="Times New Roman"/>
        </w:rPr>
        <w:t>3.1.</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szCs w:val="21"/>
        </w:rPr>
        <w:t>修正后的</w:t>
      </w:r>
      <w:r>
        <w:rPr>
          <w:rFonts w:ascii="Times New Roman" w:hAnsi="Times New Roman" w:cs="Times New Roman"/>
        </w:rPr>
        <w:t>最终报价参与评审价得分的计算</w:t>
      </w:r>
      <w:r>
        <w:rPr>
          <w:rFonts w:hint="eastAsia" w:ascii="Times New Roman" w:hAnsi="Times New Roman" w:cs="Times New Roman"/>
        </w:rPr>
        <w:t>，并作为签订合同的依据</w:t>
      </w:r>
      <w:r>
        <w:rPr>
          <w:rFonts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cs="Times New Roman"/>
        </w:rPr>
      </w:pPr>
      <w:r>
        <w:rPr>
          <w:rFonts w:ascii="Times New Roman" w:hAnsi="Times New Roman" w:cs="Times New Roman"/>
        </w:rPr>
        <w:t xml:space="preserve">3.2.1 </w:t>
      </w:r>
      <w:r>
        <w:rPr>
          <w:rFonts w:hint="eastAsia" w:ascii="Times New Roman" w:hAnsi="Times New Roman" w:cs="Times New Roman"/>
        </w:rPr>
        <w:t>评审小组</w:t>
      </w:r>
      <w:r>
        <w:rPr>
          <w:rFonts w:ascii="Times New Roman" w:hAnsi="Times New Roman" w:cs="Times New Roman"/>
        </w:rPr>
        <w:t>按本章第2.2款规定的量化因素和分值进行打分，并计算出综合评估得分。</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3.2.2 评分分值计算保留小数点后两位，小数点后第三位“四舍五入”。</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 xml:space="preserve">3.2.3 </w:t>
      </w:r>
      <w:r>
        <w:rPr>
          <w:rFonts w:hint="eastAsia" w:ascii="Times New Roman" w:hAnsi="Times New Roman" w:cs="Times New Roman"/>
          <w:highlight w:val="none"/>
        </w:rPr>
        <w:t>评审小组成员对</w:t>
      </w:r>
      <w:r>
        <w:rPr>
          <w:rFonts w:ascii="Times New Roman" w:hAnsi="Times New Roman" w:cs="Times New Roman"/>
          <w:highlight w:val="none"/>
        </w:rPr>
        <w:t>供应商</w:t>
      </w:r>
      <w:r>
        <w:rPr>
          <w:rFonts w:hint="eastAsia" w:ascii="Times New Roman" w:hAnsi="Times New Roman" w:cs="Times New Roman"/>
          <w:highlight w:val="none"/>
        </w:rPr>
        <w:t>综合评分，供应商最终得分为各评审小组成员评分的算数平均值</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strike/>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完成评审后，应当向采购人提交评审报告。评审报告应当如实记载以下内容：</w:t>
      </w:r>
    </w:p>
    <w:p>
      <w:pPr>
        <w:spacing w:line="440" w:lineRule="exact"/>
        <w:ind w:firstLine="420"/>
        <w:rPr>
          <w:rFonts w:ascii="Times New Roman" w:hAnsi="Times New Roman" w:cs="Times New Roman"/>
        </w:rPr>
      </w:pPr>
      <w:r>
        <w:rPr>
          <w:rFonts w:ascii="Times New Roman" w:hAnsi="Times New Roman" w:cs="Times New Roman"/>
        </w:rPr>
        <w:t>（一）采购项目基本情况</w:t>
      </w:r>
    </w:p>
    <w:p>
      <w:pPr>
        <w:spacing w:line="440" w:lineRule="exact"/>
        <w:ind w:firstLine="420"/>
        <w:rPr>
          <w:rFonts w:ascii="Times New Roman" w:hAnsi="Times New Roman" w:cs="Times New Roman"/>
        </w:rPr>
      </w:pPr>
      <w:r>
        <w:rPr>
          <w:rFonts w:ascii="Times New Roman" w:hAnsi="Times New Roman" w:cs="Times New Roman"/>
        </w:rPr>
        <w:t>（二）采购过程回顾</w:t>
      </w:r>
    </w:p>
    <w:p>
      <w:pPr>
        <w:spacing w:line="440" w:lineRule="exact"/>
        <w:ind w:firstLine="420"/>
        <w:rPr>
          <w:rFonts w:ascii="Times New Roman" w:hAnsi="Times New Roman" w:cs="Times New Roman"/>
        </w:rPr>
      </w:pPr>
      <w:r>
        <w:rPr>
          <w:rFonts w:ascii="Times New Roman" w:hAnsi="Times New Roman" w:cs="Times New Roman"/>
        </w:rPr>
        <w:t>（三）评审小组成员名单</w:t>
      </w:r>
    </w:p>
    <w:p>
      <w:pPr>
        <w:spacing w:line="440" w:lineRule="exact"/>
        <w:ind w:firstLine="420"/>
        <w:rPr>
          <w:rFonts w:ascii="Times New Roman" w:hAnsi="Times New Roman" w:cs="Times New Roman"/>
        </w:rPr>
      </w:pPr>
      <w:r>
        <w:rPr>
          <w:rFonts w:ascii="Times New Roman" w:hAnsi="Times New Roman" w:cs="Times New Roman"/>
        </w:rPr>
        <w:t>（四）询比评审工作</w:t>
      </w:r>
    </w:p>
    <w:p>
      <w:pPr>
        <w:spacing w:line="440" w:lineRule="exact"/>
        <w:ind w:firstLine="42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详细评审情况（</w:t>
      </w:r>
      <w:r>
        <w:rPr>
          <w:rFonts w:ascii="Times New Roman" w:hAnsi="Times New Roman" w:cs="Times New Roman"/>
        </w:rPr>
        <w:t>供应商的</w:t>
      </w:r>
      <w:r>
        <w:rPr>
          <w:rFonts w:hint="eastAsia" w:ascii="Times New Roman" w:hAnsi="Times New Roman" w:cs="Times New Roman"/>
        </w:rPr>
        <w:t>综合</w:t>
      </w:r>
      <w:r>
        <w:rPr>
          <w:rFonts w:ascii="Times New Roman" w:hAnsi="Times New Roman" w:cs="Times New Roman"/>
        </w:rPr>
        <w:t>评分情况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hint="default" w:ascii="Times New Roman" w:hAnsi="Times New Roman" w:cs="Times New Roman"/>
        </w:rPr>
        <w:t>5、</w:t>
      </w:r>
      <w:r>
        <w:rPr>
          <w:rFonts w:ascii="Times New Roman" w:hAnsi="Times New Roman" w:cs="Times New Roman"/>
        </w:rPr>
        <w:t>推荐候选供应商排序</w:t>
      </w:r>
    </w:p>
    <w:p>
      <w:pPr>
        <w:spacing w:line="440" w:lineRule="exact"/>
        <w:ind w:firstLine="420"/>
        <w:rPr>
          <w:rFonts w:ascii="Times New Roman" w:hAnsi="Times New Roman" w:cs="Times New Roman"/>
        </w:rPr>
      </w:pPr>
      <w:r>
        <w:rPr>
          <w:rFonts w:ascii="Times New Roman" w:hAnsi="Times New Roman" w:cs="Times New Roman"/>
        </w:rPr>
        <w:t>（五）需要说明的其他事项</w:t>
      </w:r>
    </w:p>
    <w:p>
      <w:pPr>
        <w:spacing w:line="440" w:lineRule="exact"/>
        <w:ind w:firstLine="420"/>
        <w:rPr>
          <w:rFonts w:ascii="Times New Roman" w:hAnsi="Times New Roman" w:cs="Times New Roman"/>
        </w:rPr>
      </w:pPr>
      <w:r>
        <w:rPr>
          <w:rFonts w:ascii="Times New Roman" w:hAnsi="Times New Roman" w:cs="Times New Roman"/>
        </w:rPr>
        <w:t>（六）评审附表</w:t>
      </w:r>
    </w:p>
    <w:p>
      <w:pPr>
        <w:spacing w:line="440" w:lineRule="exact"/>
        <w:ind w:firstLine="420"/>
        <w:rPr>
          <w:rFonts w:ascii="Times New Roman" w:hAnsi="Times New Roman" w:cs="Times New Roman"/>
        </w:rPr>
      </w:pPr>
      <w:r>
        <w:rPr>
          <w:rFonts w:hint="default" w:ascii="Times New Roman" w:hAnsi="Times New Roman" w:cs="Times New Roman"/>
        </w:rPr>
        <w:t>1、</w:t>
      </w:r>
      <w:r>
        <w:rPr>
          <w:rFonts w:ascii="Times New Roman" w:hAnsi="Times New Roman" w:cs="Times New Roman"/>
        </w:rPr>
        <w:t>响应文件开启记录表</w:t>
      </w:r>
    </w:p>
    <w:p>
      <w:pPr>
        <w:spacing w:line="440" w:lineRule="exact"/>
        <w:ind w:firstLine="420"/>
        <w:rPr>
          <w:rFonts w:ascii="Times New Roman" w:hAnsi="Times New Roman" w:cs="Times New Roman"/>
        </w:rPr>
      </w:pPr>
      <w:r>
        <w:rPr>
          <w:rFonts w:hint="default" w:ascii="Times New Roman" w:hAnsi="Times New Roman" w:cs="Times New Roman"/>
        </w:rPr>
        <w:t>2、</w:t>
      </w:r>
      <w:r>
        <w:rPr>
          <w:rFonts w:ascii="Times New Roman" w:hAnsi="Times New Roman" w:cs="Times New Roman"/>
        </w:rPr>
        <w:t>评审表格</w:t>
      </w:r>
    </w:p>
    <w:p>
      <w:pPr>
        <w:spacing w:line="440" w:lineRule="exact"/>
        <w:ind w:firstLine="420"/>
        <w:rPr>
          <w:rFonts w:hint="default" w:ascii="Times New Roman" w:hAnsi="Times New Roman" w:cs="Times New Roman"/>
          <w:color w:val="auto"/>
          <w:highlight w:val="none"/>
          <w:lang w:val="en-US" w:eastAsia="zh-CN"/>
        </w:rPr>
      </w:pPr>
    </w:p>
    <w:p>
      <w:pPr>
        <w:pStyle w:val="2"/>
        <w:rPr>
          <w:rFonts w:hint="default"/>
        </w:rPr>
      </w:pPr>
    </w:p>
    <w:p>
      <w:pPr>
        <w:rPr>
          <w:rFonts w:hint="default"/>
        </w:rPr>
      </w:pPr>
    </w:p>
    <w:p>
      <w:pPr>
        <w:pStyle w:val="2"/>
        <w:rPr>
          <w:rFonts w:hint="default"/>
        </w:rPr>
      </w:pPr>
    </w:p>
    <w:p>
      <w:pPr>
        <w:pStyle w:val="2"/>
        <w:rPr>
          <w:rFonts w:ascii="Times New Roman" w:hAnsi="Times New Roman"/>
        </w:rPr>
      </w:pPr>
    </w:p>
    <w:p>
      <w:pPr>
        <w:widowControl/>
        <w:jc w:val="left"/>
        <w:rPr>
          <w:rFonts w:ascii="Times New Roman" w:hAnsi="Times New Roman" w:eastAsia="宋体" w:cs="Times New Roman"/>
        </w:rPr>
      </w:pPr>
    </w:p>
    <w:p>
      <w:pPr>
        <w:pStyle w:val="18"/>
        <w:rPr>
          <w:rFonts w:ascii="Times New Roman" w:hAnsi="Times New Roman" w:eastAsia="宋体" w:cs="Times New Roman"/>
        </w:rPr>
      </w:pPr>
    </w:p>
    <w:p>
      <w:pPr>
        <w:pStyle w:val="18"/>
        <w:rPr>
          <w:rFonts w:ascii="Times New Roman" w:hAnsi="Times New Roman" w:eastAsia="宋体" w:cs="Times New Roman"/>
        </w:rPr>
      </w:pPr>
    </w:p>
    <w:p>
      <w:pPr>
        <w:pStyle w:val="3"/>
        <w:numPr>
          <w:ilvl w:val="0"/>
          <w:numId w:val="0"/>
        </w:numPr>
        <w:spacing w:before="312" w:after="312"/>
        <w:ind w:leftChars="0"/>
        <w:jc w:val="center"/>
        <w:rPr>
          <w:rFonts w:ascii="Times New Roman" w:hAnsi="Times New Roman" w:eastAsia="宋体" w:cs="Times New Roman"/>
        </w:rPr>
      </w:pPr>
      <w:bookmarkStart w:id="60" w:name="_Toc25343"/>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bookmarkEnd w:id="60"/>
    </w:p>
    <w:p/>
    <w:p>
      <w:pPr>
        <w:pStyle w:val="3"/>
        <w:numPr>
          <w:ilvl w:val="255"/>
          <w:numId w:val="0"/>
        </w:numPr>
        <w:spacing w:before="312" w:after="312"/>
        <w:ind w:left="402"/>
        <w:outlineLvl w:val="9"/>
        <w:rPr>
          <w:rFonts w:hint="eastAsia" w:ascii="Times New Roman" w:hAnsi="Times New Roman" w:eastAsia="宋体" w:cs="Times New Roman"/>
        </w:rPr>
      </w:pPr>
    </w:p>
    <w:p>
      <w:pPr>
        <w:rPr>
          <w:rFonts w:hint="eastAsia" w:ascii="Times New Roman" w:hAnsi="Times New Roman" w:eastAsia="宋体" w:cs="Times New Roman"/>
        </w:rPr>
      </w:pPr>
    </w:p>
    <w:p>
      <w:pPr>
        <w:pStyle w:val="2"/>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pStyle w:val="30"/>
        <w:rPr>
          <w:rFonts w:hint="eastAsia" w:ascii="Times New Roman" w:hAnsi="Times New Roman" w:eastAsia="宋体" w:cs="Times New Roman"/>
        </w:rPr>
      </w:pPr>
    </w:p>
    <w:p>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lang w:eastAsia="zh-CN"/>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项目名称</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color w:val="auto"/>
          <w:sz w:val="44"/>
          <w:szCs w:val="44"/>
          <w:lang w:val="en-US" w:eastAsia="zh-CN"/>
        </w:rPr>
        <w:t>采购</w:t>
      </w:r>
      <w:r>
        <w:rPr>
          <w:rFonts w:hint="eastAsia" w:ascii="方正小标宋简体" w:hAnsi="方正小标宋简体" w:eastAsia="方正小标宋简体" w:cs="方正小标宋简体"/>
          <w:bCs/>
          <w:color w:val="auto"/>
          <w:sz w:val="44"/>
          <w:szCs w:val="44"/>
          <w:lang w:eastAsia="zh-CN"/>
        </w:rPr>
        <w:t>合同</w:t>
      </w:r>
    </w:p>
    <w:p>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eastAsia="zh-CN"/>
        </w:rPr>
        <w:t>安徽省经工物资有限公司</w:t>
      </w:r>
      <w:r>
        <w:rPr>
          <w:rFonts w:hint="eastAsia" w:ascii="仿宋_GB2312" w:hAnsi="仿宋_GB2312" w:eastAsia="仿宋_GB2312" w:cs="仿宋_GB2312"/>
          <w:color w:val="auto"/>
          <w:sz w:val="28"/>
          <w:szCs w:val="28"/>
        </w:rPr>
        <w:t>（以下简称甲方）</w:t>
      </w:r>
    </w:p>
    <w:p>
      <w:pPr>
        <w:keepNext w:val="0"/>
        <w:keepLines w:val="0"/>
        <w:pageBreakBefore w:val="0"/>
        <w:widowControl w:val="0"/>
        <w:tabs>
          <w:tab w:val="left" w:pos="5370"/>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供应方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color w:val="auto"/>
          <w:sz w:val="28"/>
          <w:szCs w:val="28"/>
        </w:rPr>
        <w:t xml:space="preserve">（以下简称乙方）  </w:t>
      </w:r>
    </w:p>
    <w:p>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rPr>
        <w:t>依据《</w:t>
      </w:r>
      <w:r>
        <w:rPr>
          <w:rFonts w:hint="eastAsia" w:ascii="仿宋_GB2312" w:hAnsi="仿宋_GB2312" w:eastAsia="仿宋_GB2312" w:cs="仿宋_GB2312"/>
          <w:color w:val="auto"/>
          <w:sz w:val="28"/>
          <w:szCs w:val="28"/>
          <w:lang w:eastAsia="zh-CN"/>
        </w:rPr>
        <w:t>中华人民共和国民法典</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及有关</w:t>
      </w:r>
      <w:r>
        <w:rPr>
          <w:rFonts w:hint="eastAsia" w:ascii="仿宋_GB2312" w:hAnsi="仿宋_GB2312" w:eastAsia="仿宋_GB2312" w:cs="仿宋_GB2312"/>
          <w:color w:val="auto"/>
          <w:sz w:val="28"/>
          <w:szCs w:val="28"/>
        </w:rPr>
        <w:t>规定，</w:t>
      </w:r>
      <w:r>
        <w:rPr>
          <w:rFonts w:hint="eastAsia" w:ascii="仿宋_GB2312" w:hAnsi="仿宋_GB2312" w:eastAsia="仿宋_GB2312" w:cs="仿宋_GB2312"/>
          <w:color w:val="auto"/>
          <w:sz w:val="28"/>
          <w:szCs w:val="28"/>
          <w:lang w:val="en-US" w:eastAsia="zh-CN"/>
        </w:rPr>
        <w:t>甲、乙双方经过友好协商，现就甲方向乙方购买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用于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color w:val="auto"/>
          <w:sz w:val="28"/>
          <w:szCs w:val="28"/>
          <w:u w:val="none"/>
          <w:lang w:val="en-US" w:eastAsia="zh-CN"/>
        </w:rPr>
        <w:t>有关事宜，达成如下一致条款</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以资双方共同遵照执行</w:t>
      </w:r>
      <w:r>
        <w:rPr>
          <w:rFonts w:hint="eastAsia" w:ascii="仿宋_GB2312" w:hAnsi="仿宋_GB2312" w:eastAsia="仿宋_GB2312" w:cs="仿宋_GB2312"/>
          <w:color w:val="auto"/>
          <w:sz w:val="28"/>
          <w:szCs w:val="28"/>
          <w:u w:val="none"/>
        </w:rPr>
        <w:t>：</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第一条  合同价款</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1.本合同总价人民币大写：</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2.具体报价清单见附件，产品为固定综合单价，已经包含税费、材料费（含辅材）、运输费、装卸费、人员成本、安装调试、各项实验检验费、验收费以及与货物有关的特殊要求等可能产生的所有成本和费用。在合同执行期内，材料单价不因市场波动、政策调整、人工涨跌等原因做任何形式的调整。本合同所列工程量为暂估数量，最终以签收数量（乙方无条件补货与退货，并承担相应的运输、装卸货等费用）和固定综合单价进行结算。</w:t>
      </w:r>
    </w:p>
    <w:p>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rPr>
        <w:t>第二条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交货方</w:t>
      </w:r>
      <w:r>
        <w:rPr>
          <w:rFonts w:hint="eastAsia" w:ascii="黑体" w:hAnsi="黑体" w:eastAsia="黑体" w:cs="黑体"/>
          <w:b w:val="0"/>
          <w:bCs/>
          <w:color w:val="auto"/>
          <w:sz w:val="28"/>
          <w:szCs w:val="28"/>
          <w:highlight w:val="none"/>
        </w:rPr>
        <w:t>式、时间及地点</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w:t>
      </w:r>
    </w:p>
    <w:p>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lang w:val="en-US" w:eastAsia="zh-CN" w:bidi="ar-SA"/>
        </w:rPr>
        <w:t>联系地址为：</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u w:val="none"/>
          <w:lang w:val="en-US" w:eastAsia="zh-CN" w:bidi="ar-SA"/>
        </w:rPr>
        <w:t>，</w:t>
      </w:r>
      <w:r>
        <w:rPr>
          <w:rFonts w:hint="eastAsia" w:ascii="仿宋_GB2312" w:hAnsi="仿宋_GB2312" w:eastAsia="仿宋_GB2312" w:cs="仿宋_GB2312"/>
          <w:color w:val="auto"/>
          <w:kern w:val="2"/>
          <w:sz w:val="28"/>
          <w:szCs w:val="28"/>
          <w:lang w:val="en-US" w:eastAsia="zh-CN" w:bidi="ar-SA"/>
        </w:rPr>
        <w:t>甲方以上述任一方式发出的通知均为合法有效的通知。</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三</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验收</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甲方通知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并由其指定</w:t>
      </w:r>
      <w:r>
        <w:rPr>
          <w:rFonts w:hint="eastAsia" w:ascii="仿宋_GB2312" w:hAnsi="仿宋_GB2312" w:eastAsia="仿宋_GB2312" w:cs="仿宋_GB2312"/>
          <w:color w:val="auto"/>
          <w:sz w:val="28"/>
          <w:szCs w:val="28"/>
          <w:highlight w:val="none"/>
        </w:rPr>
        <w:t>现场</w:t>
      </w:r>
      <w:r>
        <w:rPr>
          <w:rFonts w:hint="eastAsia" w:ascii="仿宋_GB2312" w:hAnsi="仿宋_GB2312" w:eastAsia="仿宋_GB2312" w:cs="仿宋_GB2312"/>
          <w:color w:val="auto"/>
          <w:sz w:val="28"/>
          <w:szCs w:val="28"/>
          <w:highlight w:val="none"/>
          <w:lang w:val="en-US" w:eastAsia="zh-CN"/>
        </w:rPr>
        <w:t>人员对货物进行签收。</w:t>
      </w:r>
      <w:r>
        <w:rPr>
          <w:rFonts w:hint="eastAsia" w:ascii="仿宋_GB2312" w:hAnsi="仿宋_GB2312" w:eastAsia="仿宋_GB2312" w:cs="仿宋_GB2312"/>
          <w:color w:val="auto"/>
          <w:sz w:val="28"/>
          <w:szCs w:val="28"/>
          <w:lang w:val="en-US" w:eastAsia="zh-CN"/>
        </w:rPr>
        <w:t>如果</w:t>
      </w:r>
      <w:r>
        <w:rPr>
          <w:rFonts w:hint="eastAsia" w:ascii="仿宋_GB2312" w:hAnsi="仿宋_GB2312" w:eastAsia="仿宋_GB2312" w:cs="仿宋_GB2312"/>
          <w:color w:val="auto"/>
          <w:sz w:val="28"/>
          <w:szCs w:val="28"/>
        </w:rPr>
        <w:t>现场签收</w:t>
      </w:r>
      <w:r>
        <w:rPr>
          <w:rFonts w:hint="eastAsia" w:ascii="仿宋_GB2312" w:hAnsi="仿宋_GB2312" w:eastAsia="仿宋_GB2312" w:cs="仿宋_GB2312"/>
          <w:color w:val="auto"/>
          <w:sz w:val="28"/>
          <w:szCs w:val="28"/>
          <w:lang w:val="en-US" w:eastAsia="zh-CN"/>
        </w:rPr>
        <w:t>人员发生变更，甲方会通知乙方重新指定。</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lang w:val="en-US" w:eastAsia="zh-CN"/>
        </w:rPr>
        <w:t>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对于货物的规格型号、数量、材质等与约定不符或有其他质量问题的,甲方异议期为货物签收后</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5</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日内，异议经核实乙方应无条件补足或换货。</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r>
        <w:rPr>
          <w:rFonts w:hint="eastAsia" w:ascii="仿宋_GB2312" w:hAnsi="仿宋_GB2312" w:eastAsia="仿宋_GB2312" w:cs="仿宋_GB2312"/>
          <w:color w:val="auto"/>
          <w:sz w:val="28"/>
          <w:szCs w:val="28"/>
          <w:highlight w:val="none"/>
          <w:u w:val="single"/>
          <w:lang w:val="en-US" w:eastAsia="zh-CN"/>
        </w:rPr>
        <w:t xml:space="preserve">  1  </w:t>
      </w:r>
      <w:r>
        <w:rPr>
          <w:rFonts w:hint="eastAsia" w:ascii="仿宋_GB2312" w:hAnsi="仿宋_GB2312" w:eastAsia="仿宋_GB2312" w:cs="仿宋_GB2312"/>
          <w:color w:val="auto"/>
          <w:sz w:val="28"/>
          <w:szCs w:val="28"/>
          <w:highlight w:val="none"/>
          <w:lang w:val="en-US" w:eastAsia="zh-CN"/>
        </w:rPr>
        <w:t>年，质量保证期（以下简称质保期）为交工验收</w:t>
      </w:r>
      <w:r>
        <w:rPr>
          <w:rFonts w:hint="eastAsia" w:ascii="仿宋_GB2312" w:hAnsi="仿宋_GB2312" w:eastAsia="仿宋_GB2312" w:cs="仿宋_GB2312"/>
          <w:color w:val="auto"/>
          <w:sz w:val="28"/>
          <w:szCs w:val="28"/>
          <w:lang w:val="en-US" w:eastAsia="zh-CN"/>
        </w:rPr>
        <w:t>合格后</w:t>
      </w:r>
      <w:r>
        <w:rPr>
          <w:rFonts w:hint="eastAsia" w:ascii="仿宋_GB2312" w:hAnsi="仿宋_GB2312" w:eastAsia="仿宋_GB2312" w:cs="仿宋_GB2312"/>
          <w:color w:val="auto"/>
          <w:sz w:val="28"/>
          <w:szCs w:val="28"/>
          <w:u w:val="single"/>
          <w:lang w:val="en-US" w:eastAsia="zh-CN"/>
        </w:rPr>
        <w:t xml:space="preserve">  2  </w:t>
      </w:r>
      <w:r>
        <w:rPr>
          <w:rFonts w:hint="eastAsia" w:ascii="仿宋_GB2312" w:hAnsi="仿宋_GB2312" w:eastAsia="仿宋_GB2312" w:cs="仿宋_GB2312"/>
          <w:color w:val="auto"/>
          <w:sz w:val="28"/>
          <w:szCs w:val="28"/>
          <w:lang w:val="en-US" w:eastAsia="zh-CN"/>
        </w:rPr>
        <w:t>年。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2.质保期满后，若有零部件或货物出现故障，经鉴定属于寿命异常问题（明显短于该零部件或货物正常寿命）时，则由乙方负责免费更换维修。质保期满后，乙方以优惠价格向甲方提供所需的零配件或货物。</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3.乙方必须提供合同标的中所有产品的合格证、产品说明书。检测报告、第三方检测报告（如有）、随机附件、工具（如有），货到现场后交给现场的收货人员。</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4.合同标的中若有进口产品，则乙方必须提供原产地证明、单机产品序列号、原生产厂商质量保证书、报关单等证明材料。</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5.产品包装应符合国家标准。乙方应承担由于其包装或其防护措施不妥而引起货物锈蚀、损坏和丢失等任何损失的责任或费用。产品在卸货后剥离包装物同时负责回收或送到包装清理指定地点。</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五</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highlight w:val="none"/>
        </w:rPr>
        <w:t>价款结算及付款方式</w:t>
      </w:r>
    </w:p>
    <w:p>
      <w:pPr>
        <w:keepNext w:val="0"/>
        <w:keepLines w:val="0"/>
        <w:pageBreakBefore w:val="0"/>
        <w:kinsoku/>
        <w:wordWrap w:val="0"/>
        <w:overflowPunct/>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乙方供货后15日内将所送货物的送货单(需为经甲方指定签收人签字确认的有效送货单)汇总后向甲方提交书面对账清单，经甲方确认后方可作为价款结算和付款依据。若因乙方迟延提交对账清单，因此造成的损失由乙方自行承担。</w:t>
      </w:r>
    </w:p>
    <w:p>
      <w:pPr>
        <w:keepNext w:val="0"/>
        <w:keepLines w:val="0"/>
        <w:pageBreakBefore w:val="0"/>
        <w:kinsoku/>
        <w:wordWrap w:val="0"/>
        <w:overflowPunct/>
        <w:bidi w:val="0"/>
        <w:adjustRightInd/>
        <w:snapToGrid/>
        <w:spacing w:line="52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全部供货完成，经甲方确认后，支付至审定金额的97%。审定金额的3%作为质保金，缺陷责任期结束后无息退还。甲方向乙方支付合同价款前，乙方需提交的合法有效的增值税专用发票（13%），如若虚假或虚开，乙方应承担一切责任且需补开合法有效的增值税专用发票(税率13%)。</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3.甲方货款可采用电子转账等合理方式支付。</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 xml:space="preserve">第六条  </w:t>
      </w:r>
      <w:r>
        <w:rPr>
          <w:rFonts w:hint="eastAsia" w:ascii="黑体" w:hAnsi="黑体" w:eastAsia="黑体" w:cs="黑体"/>
          <w:b w:val="0"/>
          <w:bCs/>
          <w:color w:val="auto"/>
          <w:sz w:val="28"/>
          <w:szCs w:val="28"/>
        </w:rPr>
        <w:t>违约责任</w:t>
      </w:r>
    </w:p>
    <w:p>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1.甲方通知乙方测量后，乙方须在2日内提供深化图纸、进度计划经甲方确认，确认后</w:t>
      </w:r>
      <w:r>
        <w:rPr>
          <w:rFonts w:hint="eastAsia" w:ascii="仿宋_GB2312" w:hAnsi="仿宋_GB2312" w:eastAsia="仿宋_GB2312" w:cs="仿宋_GB2312"/>
          <w:color w:val="auto"/>
          <w:sz w:val="28"/>
          <w:szCs w:val="28"/>
          <w:lang w:val="en-US" w:eastAsia="zh-CN"/>
        </w:rPr>
        <w:t>乙方须按进度节点实施，若进度节点滞后，需支付甲方逾期价款每日1%（合同金额）的违约金，进度节点滞后（因乙方原因）超过3日的，甲方有权解除合同，或将乙方承担的一部分供货安装任务交由其他供货商完成；甲方解除合同的，乙方须向甲方支付合同总价款20%违约金，并应赔偿甲方由此造成的全部损失，同时承担甲方由此支付的诉讼费、律师费等实现债权的费用。交付货物没有通过甲方检验，造成交付迟延，按照上述条款承担违约责任。</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2.乙方交付</w:t>
      </w:r>
      <w:r>
        <w:rPr>
          <w:rFonts w:hint="eastAsia" w:ascii="仿宋_GB2312" w:hAnsi="仿宋_GB2312" w:eastAsia="仿宋_GB2312" w:cs="仿宋_GB2312"/>
          <w:color w:val="auto"/>
          <w:sz w:val="28"/>
          <w:szCs w:val="28"/>
          <w:highlight w:val="none"/>
          <w:lang w:val="en-US" w:eastAsia="zh-CN"/>
        </w:rPr>
        <w:t>的货物不符合约定标准，</w:t>
      </w:r>
      <w:r>
        <w:rPr>
          <w:rFonts w:hint="eastAsia" w:ascii="仿宋_GB2312" w:hAnsi="仿宋_GB2312" w:eastAsia="仿宋_GB2312" w:cs="仿宋_GB2312"/>
          <w:color w:val="auto"/>
          <w:sz w:val="28"/>
          <w:szCs w:val="28"/>
          <w:lang w:val="en-US" w:eastAsia="zh-CN"/>
        </w:rPr>
        <w:t>甲方可解除合同，乙方须</w:t>
      </w:r>
      <w:r>
        <w:rPr>
          <w:rFonts w:hint="eastAsia" w:ascii="仿宋_GB2312" w:hAnsi="仿宋_GB2312" w:eastAsia="仿宋_GB2312" w:cs="仿宋_GB2312"/>
          <w:color w:val="auto"/>
          <w:sz w:val="28"/>
          <w:szCs w:val="28"/>
          <w:highlight w:val="none"/>
          <w:lang w:val="en-US" w:eastAsia="zh-CN"/>
        </w:rPr>
        <w:t>按合同</w:t>
      </w:r>
      <w:r>
        <w:rPr>
          <w:rFonts w:hint="eastAsia" w:ascii="仿宋_GB2312" w:hAnsi="仿宋_GB2312" w:eastAsia="仿宋_GB2312" w:cs="仿宋_GB2312"/>
          <w:color w:val="auto"/>
          <w:sz w:val="28"/>
          <w:szCs w:val="28"/>
          <w:lang w:val="en-US" w:eastAsia="zh-CN"/>
        </w:rPr>
        <w:t>总价款20%向甲方支付违约金，并向甲方赔偿因此造成的全部损失，同时承担甲方由此支付的诉讼费、律师费等实现债权的费用；甲方有权将未完成的工程量移交给第三方实施，乙方应无条件配合相关移交工作。</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3.乙方违反合同约定的其他自身义务时，给甲方造成损失的，甲方均有权解除合同，并有权要求乙方按上述第1、2项规定承担赔偿责任，支付违约金。</w:t>
      </w:r>
    </w:p>
    <w:p>
      <w:pPr>
        <w:keepNext w:val="0"/>
        <w:keepLines w:val="0"/>
        <w:pageBreakBefore w:val="0"/>
        <w:numPr>
          <w:ilvl w:val="0"/>
          <w:numId w:val="0"/>
        </w:numPr>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4.对于乙方因违反本合同约定需支付的违约金，甲方有权在应付货款中直接予以扣除。 </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七</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其他约定</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1.乙方送货车辆到甲方现场后，在行驶和卸货过程中，乙方驾驶人员应自行察看周围地形，乙方</w:t>
      </w:r>
      <w:r>
        <w:rPr>
          <w:rFonts w:hint="eastAsia" w:ascii="仿宋_GB2312" w:hAnsi="仿宋_GB2312" w:eastAsia="仿宋_GB2312" w:cs="仿宋_GB2312"/>
          <w:color w:val="auto"/>
          <w:sz w:val="28"/>
          <w:szCs w:val="28"/>
          <w:highlight w:val="none"/>
          <w:lang w:val="en-US" w:eastAsia="zh-CN"/>
        </w:rPr>
        <w:t>车辆在甲方现场若出现事故产生损失或造成对第三人侵权等其他情形，一切损失和责任均由乙方自行承担。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乙方必须保证甲方在使用乙方提供的货物时，不存在任何已知的不合法的情形，也不存在已知的与第三方专利权、著作权、商标权等相关的任何争议，如果有任何因甲方使用乙方提供的货物而提起的侵权指控，或供应假冒伪劣货物，乙方依法承担全部责任。</w:t>
      </w:r>
    </w:p>
    <w:p>
      <w:pPr>
        <w:pStyle w:val="2"/>
        <w:keepNext w:val="0"/>
        <w:keepLines w:val="0"/>
        <w:pageBreakBefore w:val="0"/>
        <w:widowControl w:val="0"/>
        <w:kinsoku/>
        <w:overflowPunct/>
        <w:topLinePunct w:val="0"/>
        <w:autoSpaceDE/>
        <w:autoSpaceDN/>
        <w:bidi w:val="0"/>
        <w:adjustRightInd/>
        <w:snapToGrid/>
        <w:spacing w:after="0" w:line="560" w:lineRule="exact"/>
        <w:ind w:firstLine="562" w:firstLineChars="200"/>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5.本项目涉及部分货物的局部尺寸或颜色的调整，需进行优化设计、深化图纸，合同单价不予调整。</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八</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争议解决方式</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在履行合同期间发生纠份，先由双方协商解决，协商不成，双方约定向甲方所在地人民法院提起诉讼。</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color w:val="auto"/>
          <w:sz w:val="28"/>
          <w:szCs w:val="28"/>
          <w:lang w:val="en-US" w:eastAsia="zh-CN"/>
        </w:rPr>
        <w:t>第</w:t>
      </w:r>
      <w:r>
        <w:rPr>
          <w:rFonts w:hint="eastAsia" w:ascii="黑体" w:hAnsi="黑体" w:eastAsia="黑体" w:cs="黑体"/>
          <w:b w:val="0"/>
          <w:bCs/>
          <w:color w:val="auto"/>
          <w:sz w:val="28"/>
          <w:szCs w:val="28"/>
          <w:lang w:val="en-US" w:eastAsia="zh-CN"/>
        </w:rPr>
        <w:t>九条</w:t>
      </w:r>
    </w:p>
    <w:p>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1.本合同未尽事宜，由双方另行协商解决并签订补充协议。</w:t>
      </w:r>
    </w:p>
    <w:p>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2.本合同自甲乙双方签字盖章之日起生效。</w:t>
      </w:r>
    </w:p>
    <w:p>
      <w:pPr>
        <w:pStyle w:val="2"/>
        <w:keepNext w:val="0"/>
        <w:keepLines w:val="0"/>
        <w:pageBreakBefore w:val="0"/>
        <w:kinsoku/>
        <w:overflowPunct/>
        <w:autoSpaceDE/>
        <w:autoSpaceDN/>
        <w:bidi w:val="0"/>
        <w:adjustRightInd/>
        <w:snapToGrid/>
        <w:spacing w:line="560" w:lineRule="exact"/>
        <w:ind w:firstLine="560" w:firstLineChars="200"/>
        <w:jc w:val="both"/>
        <w:rPr>
          <w:rFonts w:hint="eastAsia"/>
          <w:color w:val="auto"/>
          <w:lang w:val="en-US" w:eastAsia="zh-CN"/>
        </w:rPr>
      </w:pPr>
      <w:r>
        <w:rPr>
          <w:rFonts w:hint="eastAsia" w:ascii="仿宋_GB2312" w:hAnsi="仿宋_GB2312" w:eastAsia="仿宋_GB2312" w:cs="仿宋_GB2312"/>
          <w:color w:val="auto"/>
          <w:sz w:val="28"/>
          <w:szCs w:val="28"/>
          <w:lang w:val="en-US" w:eastAsia="zh-CN"/>
        </w:rPr>
        <w:t>3.本合同一式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 xml:space="preserve"> 份，乙方执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份。</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附件：1.廉政合同</w:t>
      </w:r>
    </w:p>
    <w:p>
      <w:pPr>
        <w:pStyle w:val="18"/>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lang w:val="en-US" w:eastAsia="zh-CN"/>
        </w:rPr>
      </w:pPr>
      <w:r>
        <w:rPr>
          <w:rFonts w:hint="eastAsia" w:ascii="仿宋_GB2312" w:hAnsi="仿宋_GB2312" w:eastAsia="仿宋_GB2312" w:cs="仿宋_GB2312"/>
          <w:color w:val="auto"/>
          <w:sz w:val="28"/>
          <w:szCs w:val="28"/>
          <w:lang w:val="en-US" w:eastAsia="zh-CN"/>
        </w:rPr>
        <w:t>2.安全生产合同</w:t>
      </w:r>
    </w:p>
    <w:p>
      <w:pPr>
        <w:pStyle w:val="18"/>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3.报价清单</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（以下无正文）</w:t>
      </w:r>
    </w:p>
    <w:p>
      <w:pPr>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pStyle w:val="2"/>
        <w:bidi w:val="0"/>
        <w:rPr>
          <w:rFonts w:hint="eastAsia"/>
          <w:lang w:val="en-US" w:eastAsia="zh-CN"/>
        </w:rPr>
      </w:pPr>
    </w:p>
    <w:p>
      <w:pPr>
        <w:bidi w:val="0"/>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u w:val="none"/>
          <w:lang w:val="en-US" w:eastAsia="zh-CN"/>
        </w:rPr>
      </w:pP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u w:val="none"/>
          <w:lang w:val="en-US" w:eastAsia="zh-CN"/>
        </w:rPr>
        <w:t>安徽省经工物资有限公司</w:t>
      </w:r>
      <w:r>
        <w:rPr>
          <w:rFonts w:hint="eastAsia" w:ascii="仿宋_GB2312" w:hAnsi="仿宋_GB2312" w:eastAsia="仿宋_GB2312" w:cs="仿宋_GB2312"/>
          <w:color w:val="auto"/>
          <w:sz w:val="28"/>
          <w:szCs w:val="28"/>
          <w:lang w:val="en-US" w:eastAsia="zh-CN"/>
        </w:rPr>
        <w:t xml:space="preserve">        乙方：</w:t>
      </w:r>
      <w:r>
        <w:rPr>
          <w:rFonts w:hint="eastAsia" w:ascii="仿宋_GB2312" w:hAnsi="仿宋_GB2312" w:eastAsia="仿宋_GB2312" w:cs="仿宋_GB2312"/>
          <w:color w:val="auto"/>
          <w:sz w:val="28"/>
          <w:szCs w:val="28"/>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（盖章）                          （盖章）</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法定代表人或                        法定代表人或</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授权委托人（签字）：                授权委托人（签字）：</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纳税识别号：91340100MA2MY6GA6E      纳税识别号: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地址：安徽省合肥市蜀山区甘泉路      地址：</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398号                               </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开户银行：工行合肥东陈岗支行        开户银行：</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账号：1302012119200034038           账号：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年   月  日                         年   月   日</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br w:type="page"/>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lang w:val="en-US"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bCs/>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bCs/>
          <w:color w:val="auto"/>
          <w:spacing w:val="0"/>
          <w:sz w:val="44"/>
          <w:szCs w:val="44"/>
          <w:lang w:val="en-US" w:eastAsia="zh-CN"/>
        </w:rPr>
      </w:pPr>
      <w:r>
        <w:rPr>
          <w:rFonts w:hint="eastAsia" w:ascii="方正小标宋简体" w:hAnsi="方正小标宋简体" w:eastAsia="方正小标宋简体" w:cs="方正小标宋简体"/>
          <w:b/>
          <w:bCs/>
          <w:color w:val="auto"/>
          <w:spacing w:val="0"/>
          <w:sz w:val="44"/>
          <w:szCs w:val="44"/>
          <w:lang w:val="en-US" w:eastAsia="zh-CN"/>
        </w:rPr>
        <w:t>廉 政 合 同</w:t>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b/>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为抓好物资设备等采购供应中的党风廉政建设，规范、约束采供双方行为，确保双方工作人员廉洁从业， </w:t>
      </w:r>
      <w:r>
        <w:rPr>
          <w:rFonts w:hint="eastAsia" w:ascii="仿宋_GB2312" w:hAnsi="仿宋_GB2312" w:eastAsia="仿宋_GB2312" w:cs="仿宋_GB2312"/>
          <w:sz w:val="28"/>
          <w:szCs w:val="28"/>
          <w:u w:val="single"/>
          <w:lang w:val="en-US" w:eastAsia="zh-CN"/>
        </w:rPr>
        <w:t>【项目名称】</w:t>
      </w:r>
      <w:r>
        <w:rPr>
          <w:rFonts w:hint="eastAsia" w:ascii="仿宋_GB2312" w:hAnsi="仿宋_GB2312" w:eastAsia="仿宋_GB2312" w:cs="仿宋_GB2312"/>
          <w:color w:val="auto"/>
          <w:sz w:val="28"/>
          <w:szCs w:val="28"/>
          <w:lang w:val="en-US" w:eastAsia="zh-CN"/>
        </w:rPr>
        <w:t>的采购人</w:t>
      </w:r>
      <w:r>
        <w:rPr>
          <w:rFonts w:hint="eastAsia" w:ascii="仿宋_GB2312" w:hAnsi="仿宋_GB2312" w:eastAsia="仿宋_GB2312" w:cs="仿宋_GB2312"/>
          <w:color w:val="auto"/>
          <w:sz w:val="28"/>
          <w:szCs w:val="28"/>
          <w:u w:val="single"/>
          <w:lang w:val="en-US" w:eastAsia="zh-CN"/>
        </w:rPr>
        <w:t xml:space="preserve"> 安徽省经工物资有限公司</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sz w:val="28"/>
          <w:szCs w:val="28"/>
          <w:u w:val="single"/>
          <w:lang w:eastAsia="zh-CN"/>
        </w:rPr>
        <w:t>【供应商名称】</w:t>
      </w:r>
      <w:r>
        <w:rPr>
          <w:rFonts w:hint="eastAsia" w:ascii="仿宋_GB2312" w:hAnsi="仿宋_GB2312" w:eastAsia="仿宋_GB2312" w:cs="仿宋_GB2312"/>
          <w:color w:val="auto"/>
          <w:sz w:val="28"/>
          <w:szCs w:val="28"/>
          <w:lang w:val="en-US" w:eastAsia="zh-CN"/>
        </w:rPr>
        <w:t>（供货商名称，以下简称乙方），特订立如下合同。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严格遵守党</w:t>
      </w:r>
      <w:r>
        <w:rPr>
          <w:rFonts w:hint="eastAsia" w:ascii="仿宋_GB2312" w:hAnsi="仿宋_GB2312" w:eastAsia="仿宋_GB2312" w:cs="仿宋_GB2312"/>
          <w:color w:val="auto"/>
          <w:sz w:val="28"/>
          <w:szCs w:val="28"/>
          <w:lang w:val="en-US" w:eastAsia="zh-CN"/>
        </w:rPr>
        <w:t>的政策</w:t>
      </w:r>
      <w:r>
        <w:rPr>
          <w:rFonts w:hint="eastAsia" w:ascii="仿宋_GB2312" w:hAnsi="仿宋_GB2312" w:eastAsia="仿宋_GB2312" w:cs="仿宋_GB2312"/>
          <w:color w:val="auto"/>
          <w:sz w:val="28"/>
          <w:szCs w:val="28"/>
        </w:rPr>
        <w:t>和国家有关法律</w:t>
      </w:r>
      <w:r>
        <w:rPr>
          <w:rFonts w:hint="eastAsia" w:ascii="仿宋_GB2312" w:hAnsi="仿宋_GB2312" w:eastAsia="仿宋_GB2312" w:cs="仿宋_GB2312"/>
          <w:color w:val="auto"/>
          <w:sz w:val="28"/>
          <w:szCs w:val="28"/>
          <w:lang w:val="en-US" w:eastAsia="zh-CN"/>
        </w:rPr>
        <w:t>法规的</w:t>
      </w:r>
      <w:r>
        <w:rPr>
          <w:rFonts w:hint="eastAsia" w:ascii="仿宋_GB2312" w:hAnsi="仿宋_GB2312" w:eastAsia="仿宋_GB2312" w:cs="仿宋_GB2312"/>
          <w:color w:val="auto"/>
          <w:sz w:val="28"/>
          <w:szCs w:val="28"/>
        </w:rPr>
        <w:t>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严格执行</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合同文件</w:t>
      </w:r>
      <w:r>
        <w:rPr>
          <w:rFonts w:hint="eastAsia" w:ascii="仿宋_GB2312" w:hAnsi="仿宋_GB2312" w:eastAsia="仿宋_GB2312" w:cs="仿宋_GB2312"/>
          <w:color w:val="auto"/>
          <w:sz w:val="28"/>
          <w:szCs w:val="28"/>
          <w:u w:val="none"/>
          <w:lang w:val="en-US" w:eastAsia="zh-CN"/>
        </w:rPr>
        <w:t>名称</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合同文件</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rPr>
        <w:t>自觉按合同办事。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双方的业务活动坚持公开、公正、诚信、透明的原则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法律认定的商业秘密和合同文件另有规定除外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，不得损害国家和集体利益。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建立健全廉政制度，开展廉政教育和廉洁文化建设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公布举报电话，监督并认真查处</w:t>
      </w:r>
      <w:r>
        <w:rPr>
          <w:rFonts w:hint="eastAsia" w:ascii="仿宋_GB2312" w:hAnsi="仿宋_GB2312" w:eastAsia="仿宋_GB2312" w:cs="仿宋_GB2312"/>
          <w:color w:val="auto"/>
          <w:sz w:val="28"/>
          <w:szCs w:val="28"/>
          <w:lang w:val="en-US" w:eastAsia="zh-CN"/>
        </w:rPr>
        <w:t>违规</w:t>
      </w:r>
      <w:r>
        <w:rPr>
          <w:rFonts w:hint="eastAsia" w:ascii="仿宋_GB2312" w:hAnsi="仿宋_GB2312" w:eastAsia="仿宋_GB2312" w:cs="仿宋_GB2312"/>
          <w:color w:val="auto"/>
          <w:sz w:val="28"/>
          <w:szCs w:val="28"/>
        </w:rPr>
        <w:t>违纪违法行为。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发现对方严重违反本合同义务条款的行为，有向有关部门举报、建议给予处理并要求告知处理结果的权利。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（1）甲方及其工作人员不得利用职务之便索要或接受乙方的礼品、礼金、消费卡和有价证券、股权、其他金融产品等财物。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（2）甲方及其工作人员不得在利用职务之便为乙方谋取利益之前或之后，约定在其离职后收受乙方财物，并在离职后收受。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（3）甲方及其工作人员不得在乙方报销应由甲方或个人支付的费用等。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u w:val="none"/>
          <w:lang w:val="en-US" w:eastAsia="zh-CN"/>
        </w:rPr>
        <w:t>不得要求和接受乙方提供的交通工具、通讯工具、高档办公用品等。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（6）甲方及其工作人员不得要求乙方购买合同规定外的材料和设备。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（1）乙方及其工作人员不得以任何形式向甲方及其工作人员行贿或馈赠礼品、礼金、消费卡和有价证券、股权、其他金融产品等财物，以及回扣、好处费、感谢费等。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lang w:eastAsia="zh-CN"/>
        </w:rPr>
        <w:t>利用职务之便为乙方谋取利益，</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eastAsia="zh-CN"/>
        </w:rPr>
        <w:t>在其离职后</w:t>
      </w:r>
      <w:r>
        <w:rPr>
          <w:rFonts w:hint="eastAsia" w:ascii="仿宋_GB2312" w:hAnsi="仿宋_GB2312" w:eastAsia="仿宋_GB2312" w:cs="仿宋_GB2312"/>
          <w:color w:val="auto"/>
          <w:sz w:val="28"/>
          <w:szCs w:val="28"/>
          <w:lang w:val="en-US" w:eastAsia="zh-CN"/>
        </w:rPr>
        <w:t>给予</w:t>
      </w:r>
      <w:r>
        <w:rPr>
          <w:rFonts w:hint="eastAsia" w:ascii="仿宋_GB2312" w:hAnsi="仿宋_GB2312" w:eastAsia="仿宋_GB2312" w:cs="仿宋_GB2312"/>
          <w:color w:val="auto"/>
          <w:sz w:val="28"/>
          <w:szCs w:val="28"/>
          <w:lang w:eastAsia="zh-CN"/>
        </w:rPr>
        <w:t>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（3）乙方不得以任何名义为甲方及其工作人员报销由甲方单位或个人支付的任何费用。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u w:val="none"/>
          <w:lang w:val="en-US" w:eastAsia="zh-CN"/>
        </w:rPr>
        <w:t>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（5）乙方及其工作人员不得为甲方工作人员住房装修、婚丧嫁娶、出国出境、旅游等提供方便；不得为甲方工作人员的特定关系人以安排工作为名，使其不实际工作却获取薪酬。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4.违约责任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（1）甲方及其工作人员违反本合同第1、2条，按管理权限，依据有关规定给予党纪政务处分和组织处理；涉嫌犯罪的，移交司法机关追究刑事责任；给乙方单位造成经济损失的，应予以赔偿。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（2）乙方及其工作人员违反本合同第1、3条，按管理权限，依据有关规定，给予相关处理；给甲方单位造成经济损失的，应予以赔偿。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5.本合同有效期为甲乙双方签署之日起至该供货合同履行完毕后止。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6.本合同作为</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lang w:val="en-US" w:eastAsia="zh-CN"/>
        </w:rPr>
        <w:t>（合同文件名称）的附件，与采购合同具有同等的法律效力，经合同双方签署立即生效。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rPr>
        <w:t>7.本合同一式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val="en-US" w:eastAsia="zh-CN"/>
        </w:rPr>
        <w:t>或</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法定代表或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年   月   日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甲方监督单位：（盖章）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乙方监督单位：（盖章）</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附件二：</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安全生产合同</w:t>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为在</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u w:val="single"/>
          <w:lang w:val="en-US" w:eastAsia="zh-CN"/>
        </w:rPr>
        <w:t>名称</w:t>
      </w:r>
      <w:r>
        <w:rPr>
          <w:rFonts w:hint="eastAsia" w:ascii="仿宋_GB2312" w:hAnsi="仿宋_GB2312" w:eastAsia="仿宋_GB2312" w:cs="仿宋_GB2312"/>
          <w:sz w:val="28"/>
          <w:szCs w:val="28"/>
          <w:u w:val="single"/>
          <w:lang w:val="en-US" w:eastAsia="zh-CN"/>
        </w:rPr>
        <w:t>】</w:t>
      </w:r>
      <w:r>
        <w:rPr>
          <w:rFonts w:hint="eastAsia" w:ascii="仿宋_GB2312" w:hAnsi="仿宋_GB2312" w:eastAsia="仿宋_GB2312" w:cs="仿宋_GB2312"/>
          <w:color w:val="auto"/>
          <w:sz w:val="28"/>
          <w:szCs w:val="28"/>
          <w:lang w:val="en-US" w:eastAsia="zh-CN"/>
        </w:rPr>
        <w:t>（项目名称）</w:t>
      </w:r>
      <w:r>
        <w:rPr>
          <w:rFonts w:hint="eastAsia" w:ascii="仿宋_GB2312" w:hAnsi="仿宋_GB2312" w:eastAsia="仿宋_GB2312" w:cs="仿宋_GB2312"/>
          <w:color w:val="auto"/>
          <w:sz w:val="28"/>
          <w:szCs w:val="28"/>
        </w:rPr>
        <w:t>的实施过程中创造安全、高效的施工环境，切实搞好本项目的安全管理工作，本项目</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u w:val="single"/>
          <w:lang w:val="en-US" w:eastAsia="zh-CN"/>
        </w:rPr>
        <w:t xml:space="preserve">安徽省经工物资有限公司 </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sz w:val="28"/>
          <w:szCs w:val="28"/>
          <w:u w:val="single"/>
          <w:lang w:val="en-US" w:eastAsia="zh-CN"/>
        </w:rPr>
        <w:t>【供应商名称】</w:t>
      </w:r>
      <w:r>
        <w:rPr>
          <w:rFonts w:hint="eastAsia" w:ascii="仿宋_GB2312" w:hAnsi="仿宋_GB2312" w:eastAsia="仿宋_GB2312" w:cs="仿宋_GB2312"/>
          <w:color w:val="auto"/>
          <w:sz w:val="28"/>
          <w:szCs w:val="28"/>
          <w:lang w:val="en-US" w:eastAsia="zh-CN"/>
        </w:rPr>
        <w:t>（供货商名称，以下简称乙方）</w:t>
      </w:r>
      <w:r>
        <w:rPr>
          <w:rFonts w:hint="eastAsia" w:ascii="仿宋_GB2312" w:hAnsi="仿宋_GB2312" w:eastAsia="仿宋_GB2312" w:cs="仿宋_GB2312"/>
          <w:color w:val="auto"/>
          <w:sz w:val="28"/>
          <w:szCs w:val="28"/>
        </w:rPr>
        <w:t>特此签订</w:t>
      </w:r>
      <w:r>
        <w:rPr>
          <w:rFonts w:hint="eastAsia" w:ascii="仿宋_GB2312" w:hAnsi="仿宋_GB2312" w:eastAsia="仿宋_GB2312" w:cs="仿宋_GB2312"/>
          <w:color w:val="auto"/>
          <w:sz w:val="28"/>
          <w:szCs w:val="28"/>
          <w:lang w:val="en-US" w:eastAsia="zh-CN"/>
        </w:rPr>
        <w:t>此</w:t>
      </w:r>
      <w:r>
        <w:rPr>
          <w:rFonts w:hint="eastAsia" w:ascii="仿宋_GB2312" w:hAnsi="仿宋_GB2312" w:eastAsia="仿宋_GB2312" w:cs="仿宋_GB2312"/>
          <w:color w:val="auto"/>
          <w:sz w:val="28"/>
          <w:szCs w:val="28"/>
        </w:rPr>
        <w:t>安全生产合同：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为强化企业安全生产主体责任，加强道路运输安全管理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lang w:val="en-US" w:eastAsia="zh-CN"/>
        </w:rPr>
        <w:t>中华人民共和国民法典</w:t>
      </w:r>
      <w:r>
        <w:rPr>
          <w:rFonts w:hint="eastAsia" w:ascii="仿宋_GB2312" w:hAnsi="仿宋_GB2312" w:eastAsia="仿宋_GB2312" w:cs="仿宋_GB2312"/>
          <w:color w:val="auto"/>
          <w:sz w:val="28"/>
          <w:szCs w:val="28"/>
        </w:rPr>
        <w:t>》、《中华人民共和道路交通安全法》、《公路安全保护条例》、《中华人民共和国公路法》、《超限运输车辆行驶公路管理规定》及其他相关安全法律、行政法规和规章，在平等、自愿、公平和诚实信用的原则下，双方就材料供应、运输安全事项协商一致，双方达成如下协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一、本协议履行期限与双方签订的材料供应合同履行期限相同，</w:t>
      </w:r>
      <w:r>
        <w:rPr>
          <w:rFonts w:hint="eastAsia" w:ascii="仿宋_GB2312" w:hAnsi="仿宋_GB2312" w:eastAsia="仿宋_GB2312" w:cs="仿宋_GB2312"/>
          <w:color w:val="auto"/>
          <w:sz w:val="28"/>
          <w:szCs w:val="28"/>
          <w:highlight w:val="none"/>
        </w:rPr>
        <w:t>属材料供应合同的附件之一，具有与材料供应合同同等的法律效力。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三、在甲方运输区域，乙方运输车辆必须服从甲方的统一管理、调度和指挥，严格遵守交通规则，保证道路的畅通和运输安全，不得乱停、乱靠、乱装、乱卸，不得争道抢行，不得超速超载。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四、乙方对提供的运输车辆应当已取得国家道路运输的许可证，并确保车辆性能符合安全技术标准、防止带病上路运行，已依照国家法律政策规定购齐有关车辆保险。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lang w:val="en-US" w:eastAsia="zh-CN"/>
        </w:rPr>
        <w:t>或岗位证书</w:t>
      </w:r>
      <w:r>
        <w:rPr>
          <w:rFonts w:hint="eastAsia" w:ascii="仿宋_GB2312" w:hAnsi="仿宋_GB2312" w:eastAsia="仿宋_GB2312" w:cs="仿宋_GB2312"/>
          <w:color w:val="auto"/>
          <w:sz w:val="28"/>
          <w:szCs w:val="28"/>
        </w:rPr>
        <w:t>后，方准持证上岗。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操作人员上岗，必须按规定穿戴防护用品。施工负责人和安全</w:t>
      </w:r>
      <w:r>
        <w:rPr>
          <w:rFonts w:hint="eastAsia" w:ascii="仿宋_GB2312" w:hAnsi="仿宋_GB2312" w:eastAsia="仿宋_GB2312" w:cs="仿宋_GB2312"/>
          <w:color w:val="auto"/>
          <w:sz w:val="28"/>
          <w:szCs w:val="28"/>
          <w:lang w:val="en-US" w:eastAsia="zh-CN"/>
        </w:rPr>
        <w:t>管理人</w:t>
      </w:r>
      <w:r>
        <w:rPr>
          <w:rFonts w:hint="eastAsia" w:ascii="仿宋_GB2312" w:hAnsi="仿宋_GB2312" w:eastAsia="仿宋_GB2312" w:cs="仿宋_GB2312"/>
          <w:color w:val="auto"/>
          <w:sz w:val="28"/>
          <w:szCs w:val="28"/>
        </w:rPr>
        <w:t>员应随时检查劳动防护用品的穿戴情况，不按规定穿戴防护用品的人员不得上岗。</w:t>
      </w:r>
      <w:r>
        <w:rPr>
          <w:rFonts w:hint="eastAsia" w:ascii="仿宋_GB2312" w:hAnsi="仿宋_GB2312" w:eastAsia="仿宋_GB2312" w:cs="仿宋_GB2312"/>
          <w:color w:val="auto"/>
          <w:sz w:val="28"/>
          <w:szCs w:val="28"/>
          <w:lang w:val="en-US" w:eastAsia="zh-CN"/>
        </w:rPr>
        <w:t>在甲方区域，禁止出现无证操作、无证驾驶现象。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w:t>
      </w:r>
      <w:r>
        <w:rPr>
          <w:rFonts w:hint="eastAsia" w:ascii="仿宋_GB2312" w:hAnsi="仿宋_GB2312" w:eastAsia="仿宋_GB2312" w:cs="仿宋_GB2312"/>
          <w:color w:val="auto"/>
          <w:sz w:val="28"/>
          <w:szCs w:val="28"/>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严肃处理相关责任人。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及安装</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 xml:space="preserve">、争议的解决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在履行中如发生争议，双方应及时协商解决。协商不成的，任何一方均有权将</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争议事项向甲方公司注册所在地人民法院提起诉讼，通过法定程序解决。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rPr>
        <w:t>、本协议</w:t>
      </w:r>
      <w:r>
        <w:rPr>
          <w:rFonts w:hint="eastAsia" w:ascii="仿宋_GB2312" w:hAnsi="仿宋_GB2312" w:eastAsia="仿宋_GB2312" w:cs="仿宋_GB2312"/>
          <w:color w:val="auto"/>
          <w:sz w:val="28"/>
          <w:szCs w:val="28"/>
          <w:lang w:val="en-US" w:eastAsia="zh-CN"/>
        </w:rPr>
        <w:t>壹</w:t>
      </w:r>
      <w:r>
        <w:rPr>
          <w:rFonts w:hint="eastAsia" w:ascii="仿宋_GB2312" w:hAnsi="仿宋_GB2312" w:eastAsia="仿宋_GB2312" w:cs="仿宋_GB2312"/>
          <w:color w:val="auto"/>
          <w:sz w:val="28"/>
          <w:szCs w:val="28"/>
        </w:rPr>
        <w:t>式</w:t>
      </w:r>
      <w:r>
        <w:rPr>
          <w:rFonts w:hint="eastAsia" w:ascii="仿宋_GB2312" w:hAnsi="仿宋_GB2312" w:eastAsia="仿宋_GB2312" w:cs="仿宋_GB2312"/>
          <w:color w:val="auto"/>
          <w:sz w:val="28"/>
          <w:szCs w:val="28"/>
          <w:u w:val="single"/>
          <w:lang w:val="en-US" w:eastAsia="zh-CN"/>
        </w:rPr>
        <w:t xml:space="preserve"> 肆 </w:t>
      </w:r>
      <w:r>
        <w:rPr>
          <w:rFonts w:hint="eastAsia" w:ascii="仿宋_GB2312" w:hAnsi="仿宋_GB2312" w:eastAsia="仿宋_GB2312" w:cs="仿宋_GB2312"/>
          <w:color w:val="auto"/>
          <w:sz w:val="28"/>
          <w:szCs w:val="28"/>
        </w:rPr>
        <w:t>份，甲</w:t>
      </w:r>
      <w:r>
        <w:rPr>
          <w:rFonts w:hint="eastAsia" w:ascii="仿宋_GB2312" w:hAnsi="仿宋_GB2312" w:eastAsia="仿宋_GB2312" w:cs="仿宋_GB2312"/>
          <w:color w:val="auto"/>
          <w:sz w:val="28"/>
          <w:szCs w:val="28"/>
          <w:lang w:val="en-US" w:eastAsia="zh-CN"/>
        </w:rPr>
        <w:t xml:space="preserve">方执 </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w:t>
      </w:r>
      <w:r>
        <w:rPr>
          <w:rFonts w:hint="eastAsia" w:ascii="仿宋_GB2312" w:hAnsi="仿宋_GB2312" w:eastAsia="仿宋_GB2312" w:cs="仿宋_GB2312"/>
          <w:color w:val="auto"/>
          <w:sz w:val="28"/>
          <w:szCs w:val="28"/>
        </w:rPr>
        <w:t>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法定代表人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z w:val="28"/>
          <w:szCs w:val="28"/>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lang w:val="en-US" w:eastAsia="zh-CN"/>
        </w:rPr>
      </w:pPr>
    </w:p>
    <w:p>
      <w:pPr>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br w:type="page"/>
      </w:r>
    </w:p>
    <w:p>
      <w:pPr>
        <w:pStyle w:val="18"/>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color w:val="auto"/>
          <w:sz w:val="28"/>
          <w:szCs w:val="28"/>
        </w:rPr>
        <w:t>附件</w:t>
      </w:r>
      <w:r>
        <w:rPr>
          <w:rFonts w:hint="eastAsia" w:ascii="仿宋_GB2312" w:hAnsi="仿宋_GB2312" w:eastAsia="仿宋_GB2312" w:cs="仿宋_GB2312"/>
          <w:b/>
          <w:color w:val="auto"/>
          <w:sz w:val="28"/>
          <w:szCs w:val="28"/>
          <w:lang w:val="en-US" w:eastAsia="zh-CN"/>
        </w:rPr>
        <w:t>三</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 xml:space="preserve">                 </w:t>
      </w:r>
    </w:p>
    <w:p>
      <w:pPr>
        <w:pStyle w:val="18"/>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报价清单</w:t>
      </w: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rPr>
          <w:rFonts w:hint="eastAsia"/>
          <w:lang w:val="en-US" w:eastAsia="zh-CN"/>
        </w:rPr>
      </w:pPr>
      <w:r>
        <w:rPr>
          <w:rFonts w:hint="eastAsia"/>
          <w:lang w:val="en-US" w:eastAsia="zh-CN"/>
        </w:rPr>
        <w:br w:type="page"/>
      </w:r>
    </w:p>
    <w:p>
      <w:pPr>
        <w:pStyle w:val="17"/>
        <w:rPr>
          <w:rFonts w:hint="eastAsia"/>
          <w:lang w:val="en-US" w:eastAsia="zh-CN"/>
        </w:rPr>
      </w:pPr>
    </w:p>
    <w:p>
      <w:pPr>
        <w:pStyle w:val="17"/>
        <w:rPr>
          <w:rFonts w:hint="eastAsia"/>
          <w:lang w:val="en-US" w:eastAsia="zh-CN"/>
        </w:rPr>
      </w:pPr>
    </w:p>
    <w:p>
      <w:pPr>
        <w:pStyle w:val="9"/>
        <w:adjustRightInd w:val="0"/>
        <w:snapToGrid w:val="0"/>
        <w:jc w:val="center"/>
        <w:rPr>
          <w:rFonts w:ascii="Times New Roman" w:hAnsi="Times New Roman" w:cs="Times New Roman"/>
        </w:rPr>
      </w:pPr>
    </w:p>
    <w:p>
      <w:pPr>
        <w:pStyle w:val="3"/>
        <w:numPr>
          <w:ilvl w:val="0"/>
          <w:numId w:val="0"/>
        </w:numPr>
        <w:spacing w:before="312" w:after="312"/>
        <w:ind w:leftChars="0"/>
        <w:jc w:val="center"/>
        <w:rPr>
          <w:rFonts w:hint="eastAsia" w:ascii="Times New Roman" w:hAnsi="Times New Roman" w:eastAsia="宋体" w:cs="Times New Roman"/>
          <w:lang w:val="en-US" w:eastAsia="zh-CN"/>
        </w:rPr>
      </w:pPr>
    </w:p>
    <w:p>
      <w:pPr>
        <w:rPr>
          <w:rFonts w:hint="eastAsia"/>
          <w:lang w:val="en-US" w:eastAsia="zh-CN"/>
        </w:rPr>
      </w:pPr>
    </w:p>
    <w:p>
      <w:pPr>
        <w:pStyle w:val="3"/>
        <w:numPr>
          <w:ilvl w:val="0"/>
          <w:numId w:val="0"/>
        </w:numPr>
        <w:spacing w:before="312" w:after="312"/>
        <w:ind w:leftChars="0"/>
        <w:jc w:val="center"/>
        <w:rPr>
          <w:rFonts w:hint="eastAsia" w:ascii="Times New Roman" w:hAnsi="Times New Roman" w:eastAsia="宋体" w:cs="Times New Roman"/>
          <w:lang w:val="en-US" w:eastAsia="zh-CN"/>
        </w:rPr>
      </w:pPr>
    </w:p>
    <w:p>
      <w:pPr>
        <w:pStyle w:val="30"/>
        <w:rPr>
          <w:rFonts w:hint="eastAsia" w:ascii="Times New Roman" w:hAnsi="Times New Roman" w:eastAsia="宋体" w:cs="Times New Roman"/>
          <w:lang w:val="en-US" w:eastAsia="zh-CN"/>
        </w:rPr>
      </w:pPr>
    </w:p>
    <w:p>
      <w:pPr>
        <w:pStyle w:val="3"/>
        <w:numPr>
          <w:ilvl w:val="255"/>
          <w:numId w:val="0"/>
        </w:numPr>
        <w:spacing w:before="312" w:after="312"/>
        <w:ind w:left="402"/>
        <w:rPr>
          <w:rFonts w:ascii="Times New Roman" w:hAnsi="Times New Roman" w:eastAsia="宋体" w:cs="Times New Roman"/>
        </w:rPr>
      </w:pPr>
      <w:bookmarkStart w:id="61" w:name="_Toc24422"/>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bookmarkEnd w:id="61"/>
    </w:p>
    <w:p>
      <w:pPr>
        <w:pStyle w:val="3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w:t>
      </w:r>
    </w:p>
    <w:p>
      <w:pPr>
        <w:pStyle w:val="30"/>
        <w:rPr>
          <w:rFonts w:hint="eastAsia" w:ascii="宋体" w:hAnsi="宋体" w:eastAsia="宋体" w:cs="宋体"/>
          <w:b/>
          <w:bCs/>
          <w:sz w:val="28"/>
          <w:szCs w:val="28"/>
        </w:rPr>
      </w:pPr>
    </w:p>
    <w:p>
      <w:pPr>
        <w:pStyle w:val="30"/>
        <w:rPr>
          <w:rFonts w:hint="eastAsia" w:ascii="宋体" w:hAnsi="宋体" w:eastAsia="宋体" w:cs="宋体"/>
          <w:b/>
          <w:bCs/>
          <w:sz w:val="28"/>
          <w:szCs w:val="28"/>
        </w:rPr>
      </w:pPr>
    </w:p>
    <w:p>
      <w:pPr>
        <w:pStyle w:val="30"/>
        <w:rPr>
          <w:rFonts w:hint="eastAsia" w:ascii="宋体" w:hAnsi="宋体" w:eastAsia="宋体" w:cs="宋体"/>
          <w:b/>
          <w:bCs/>
          <w:sz w:val="28"/>
          <w:szCs w:val="28"/>
        </w:rPr>
      </w:pPr>
    </w:p>
    <w:p>
      <w:pPr>
        <w:rPr>
          <w:rFonts w:ascii="Times New Roman" w:hAnsi="Times New Roman" w:cs="Times New Roman"/>
        </w:rPr>
      </w:pPr>
    </w:p>
    <w:p>
      <w:pPr>
        <w:rPr>
          <w:rFonts w:ascii="Times New Roman" w:hAnsi="Times New Roman" w:eastAsia="宋体" w:cs="Times New Roman"/>
        </w:rPr>
      </w:pPr>
      <w:r>
        <w:rPr>
          <w:rFonts w:ascii="Times New Roman" w:hAnsi="Times New Roman" w:eastAsia="宋体" w:cs="Times New Roman"/>
        </w:rPr>
        <w:br w:type="page"/>
      </w:r>
    </w:p>
    <w:p>
      <w:pPr>
        <w:pStyle w:val="3"/>
        <w:numPr>
          <w:ilvl w:val="255"/>
          <w:numId w:val="0"/>
        </w:numPr>
        <w:spacing w:before="312" w:after="312"/>
        <w:ind w:left="402"/>
        <w:rPr>
          <w:rFonts w:hint="eastAsia" w:ascii="Times New Roman" w:hAnsi="Times New Roman" w:eastAsia="宋体" w:cs="Times New Roman"/>
        </w:rPr>
      </w:pPr>
      <w:bookmarkStart w:id="62" w:name="_Toc7773"/>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bookmarkEnd w:id="62"/>
    </w:p>
    <w:p>
      <w:pPr>
        <w:jc w:val="left"/>
        <w:rPr>
          <w:rFonts w:ascii="Times New Roman" w:hAnsi="Times New Roman" w:eastAsia="宋体" w:cs="Times New Roman"/>
        </w:rPr>
      </w:pPr>
      <w:r>
        <w:rPr>
          <w:rFonts w:ascii="Times New Roman" w:hAnsi="Times New Roman" w:eastAsia="宋体" w:cs="Times New Roman"/>
        </w:rPr>
        <w:br w:type="page"/>
      </w:r>
    </w:p>
    <w:p>
      <w:pPr>
        <w:spacing w:line="440" w:lineRule="exact"/>
        <w:jc w:val="center"/>
        <w:rPr>
          <w:rFonts w:hint="eastAsia" w:ascii="宋体" w:hAnsi="宋体" w:eastAsia="宋体" w:cs="宋体"/>
          <w:b/>
          <w:bCs/>
          <w:kern w:val="0"/>
          <w:sz w:val="36"/>
          <w:szCs w:val="36"/>
          <w:u w:val="single"/>
          <w:lang w:val="en-US" w:eastAsia="zh-CN"/>
        </w:rPr>
      </w:pPr>
    </w:p>
    <w:p>
      <w:pPr>
        <w:spacing w:line="440" w:lineRule="exact"/>
        <w:jc w:val="center"/>
        <w:rPr>
          <w:rFonts w:hint="eastAsia" w:ascii="宋体" w:hAnsi="宋体" w:eastAsia="宋体" w:cs="宋体"/>
          <w:b/>
          <w:bCs/>
          <w:kern w:val="0"/>
          <w:sz w:val="36"/>
          <w:szCs w:val="36"/>
          <w:u w:val="single"/>
          <w:lang w:val="en-US" w:eastAsia="zh-CN"/>
        </w:rPr>
      </w:pP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63" w:name="_Toc10484_WPSOffice_Level1"/>
      <w:bookmarkStart w:id="64" w:name="_Toc17394_WPSOffice_Level1"/>
      <w:bookmarkStart w:id="65" w:name="_Toc29687_WPSOffice_Level1"/>
      <w:bookmarkStart w:id="66" w:name="_Toc1914_WPSOffice_Level1"/>
      <w:bookmarkStart w:id="67" w:name="_Toc32044_WPSOffice_Level1"/>
      <w:r>
        <w:rPr>
          <w:rFonts w:ascii="Times New Roman" w:hAnsi="Times New Roman" w:eastAsia="黑体" w:cs="Times New Roman"/>
          <w:sz w:val="50"/>
          <w:szCs w:val="50"/>
        </w:rPr>
        <w:t>响  应  文  件</w:t>
      </w:r>
      <w:bookmarkEnd w:id="63"/>
      <w:bookmarkEnd w:id="64"/>
      <w:bookmarkEnd w:id="65"/>
      <w:bookmarkEnd w:id="66"/>
      <w:bookmarkEnd w:id="67"/>
    </w:p>
    <w:p>
      <w:pPr>
        <w:pStyle w:val="18"/>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（商务技术文件）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68" w:name="_Toc5520_WPSOffice_Level2"/>
      <w:bookmarkStart w:id="69" w:name="_Toc25232_WPSOffice_Level2"/>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w:t>
      </w:r>
      <w:bookmarkEnd w:id="68"/>
      <w:bookmarkEnd w:id="69"/>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bookmarkStart w:id="70" w:name="_Toc20076_WPSOffice_Level2"/>
      <w:bookmarkStart w:id="71"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70"/>
      <w:bookmarkEnd w:id="71"/>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72" w:name="_Toc22351_WPSOffice_Level2"/>
      <w:bookmarkStart w:id="73" w:name="_Toc21974_WPSOffice_Level2"/>
      <w:r>
        <w:rPr>
          <w:rFonts w:ascii="Times New Roman" w:hAnsi="Times New Roman" w:eastAsia="黑体" w:cs="Times New Roman"/>
          <w:sz w:val="28"/>
          <w:szCs w:val="28"/>
        </w:rPr>
        <w:t>目     录</w:t>
      </w:r>
      <w:bookmarkEnd w:id="72"/>
      <w:bookmarkEnd w:id="73"/>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74" w:name="_Toc6353_WPSOffice_Level1"/>
      <w:bookmarkStart w:id="75" w:name="_Toc5842_WPSOffice_Level1"/>
      <w:bookmarkStart w:id="76" w:name="_Toc30529_WPSOffice_Level1"/>
      <w:bookmarkStart w:id="77" w:name="_Toc23368_WPSOffice_Level1"/>
      <w:bookmarkStart w:id="78" w:name="_Toc11424_WPSOffice_Level1"/>
      <w:bookmarkStart w:id="79" w:name="_Toc12670_WPSOffice_Level1"/>
      <w:r>
        <w:rPr>
          <w:rFonts w:ascii="Times New Roman" w:hAnsi="Times New Roman" w:eastAsia="黑体" w:cs="Times New Roman"/>
          <w:sz w:val="24"/>
        </w:rPr>
        <w:t>一、</w:t>
      </w:r>
      <w:r>
        <w:rPr>
          <w:rFonts w:hint="eastAsia" w:ascii="Times New Roman" w:hAnsi="Times New Roman" w:eastAsia="黑体" w:cs="Times New Roman"/>
          <w:sz w:val="24"/>
          <w:lang w:val="en-US" w:eastAsia="zh-CN"/>
        </w:rPr>
        <w:t>响应</w:t>
      </w:r>
      <w:r>
        <w:rPr>
          <w:rFonts w:ascii="Times New Roman" w:hAnsi="Times New Roman" w:eastAsia="黑体" w:cs="Times New Roman"/>
          <w:sz w:val="24"/>
        </w:rPr>
        <w:t>函</w:t>
      </w:r>
      <w:bookmarkEnd w:id="74"/>
      <w:bookmarkEnd w:id="75"/>
      <w:bookmarkEnd w:id="76"/>
      <w:bookmarkEnd w:id="77"/>
      <w:bookmarkEnd w:id="78"/>
    </w:p>
    <w:p>
      <w:pPr>
        <w:spacing w:line="440" w:lineRule="exact"/>
        <w:ind w:left="1619" w:leftChars="771"/>
        <w:rPr>
          <w:rFonts w:ascii="Times New Roman" w:hAnsi="Times New Roman" w:eastAsia="黑体" w:cs="Times New Roman"/>
          <w:sz w:val="24"/>
        </w:rPr>
      </w:pPr>
      <w:bookmarkStart w:id="80" w:name="_Toc31927_WPSOffice_Level1"/>
      <w:bookmarkStart w:id="81" w:name="_Toc5317_WPSOffice_Level1"/>
      <w:bookmarkStart w:id="82" w:name="_Toc32729_WPSOffice_Level1"/>
      <w:bookmarkStart w:id="83" w:name="_Toc21229_WPSOffice_Level1"/>
      <w:bookmarkStart w:id="84" w:name="_Toc30428_WPSOffice_Level1"/>
      <w:r>
        <w:rPr>
          <w:rFonts w:ascii="Times New Roman" w:hAnsi="Times New Roman" w:eastAsia="黑体" w:cs="Times New Roman"/>
          <w:sz w:val="24"/>
        </w:rPr>
        <w:t>二、法定代表人身份证明及授权委托书</w:t>
      </w:r>
      <w:bookmarkEnd w:id="80"/>
      <w:bookmarkEnd w:id="81"/>
      <w:bookmarkEnd w:id="82"/>
      <w:bookmarkEnd w:id="83"/>
      <w:bookmarkEnd w:id="84"/>
    </w:p>
    <w:p>
      <w:pPr>
        <w:spacing w:line="440" w:lineRule="exact"/>
        <w:ind w:left="1619" w:leftChars="771"/>
        <w:rPr>
          <w:rFonts w:ascii="Times New Roman" w:hAnsi="Times New Roman" w:eastAsia="黑体" w:cs="Times New Roman"/>
          <w:sz w:val="24"/>
        </w:rPr>
      </w:pPr>
      <w:bookmarkStart w:id="85" w:name="_Toc29085_WPSOffice_Level1"/>
      <w:bookmarkStart w:id="86" w:name="_Toc25965_WPSOffice_Level1"/>
      <w:bookmarkStart w:id="87" w:name="_Toc21853_WPSOffice_Level1"/>
      <w:bookmarkStart w:id="88" w:name="_Toc23356_WPSOffice_Level1"/>
      <w:bookmarkStart w:id="89"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w:t>
      </w:r>
      <w:r>
        <w:rPr>
          <w:rFonts w:hint="eastAsia" w:ascii="Times New Roman" w:hAnsi="Times New Roman" w:eastAsia="黑体" w:cs="Times New Roman"/>
          <w:sz w:val="24"/>
        </w:rPr>
        <w:t>供应商基本情况</w:t>
      </w:r>
    </w:p>
    <w:bookmarkEnd w:id="85"/>
    <w:bookmarkEnd w:id="86"/>
    <w:bookmarkEnd w:id="87"/>
    <w:bookmarkEnd w:id="88"/>
    <w:bookmarkEnd w:id="89"/>
    <w:p>
      <w:pPr>
        <w:spacing w:line="440" w:lineRule="exact"/>
        <w:ind w:left="1619" w:leftChars="771"/>
        <w:rPr>
          <w:rFonts w:hint="eastAsia" w:ascii="Times New Roman" w:hAnsi="Times New Roman" w:eastAsia="黑体" w:cs="Times New Roman"/>
          <w:sz w:val="24"/>
        </w:rPr>
      </w:pPr>
      <w:bookmarkStart w:id="90" w:name="_Toc29870_WPSOffice_Level1"/>
      <w:bookmarkStart w:id="91" w:name="_Toc23744_WPSOffice_Level1"/>
      <w:bookmarkStart w:id="92" w:name="_Toc18964_WPSOffice_Level1"/>
      <w:bookmarkStart w:id="93" w:name="_Toc7453_WPSOffice_Level1"/>
      <w:bookmarkStart w:id="94" w:name="_Toc10608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90"/>
      <w:bookmarkEnd w:id="91"/>
      <w:bookmarkEnd w:id="92"/>
      <w:bookmarkEnd w:id="93"/>
      <w:bookmarkEnd w:id="94"/>
      <w:bookmarkStart w:id="95" w:name="_Toc12459_WPSOffice_Level1"/>
      <w:bookmarkStart w:id="96" w:name="_Toc24262_WPSOffice_Level1"/>
      <w:r>
        <w:rPr>
          <w:rFonts w:hint="eastAsia" w:ascii="Times New Roman" w:hAnsi="Times New Roman" w:eastAsia="黑体" w:cs="Times New Roman"/>
          <w:sz w:val="24"/>
        </w:rPr>
        <w:t>近年类似业绩情况</w:t>
      </w:r>
    </w:p>
    <w:p>
      <w:pPr>
        <w:spacing w:line="440" w:lineRule="exact"/>
        <w:ind w:left="1619" w:leftChars="771"/>
        <w:rPr>
          <w:rFonts w:hint="eastAsia" w:ascii="Times New Roman" w:hAnsi="Times New Roman" w:eastAsia="黑体" w:cs="Times New Roman"/>
          <w:sz w:val="24"/>
        </w:rPr>
      </w:pPr>
      <w:r>
        <w:rPr>
          <w:rFonts w:hint="eastAsia" w:ascii="Times New Roman" w:hAnsi="Times New Roman" w:eastAsia="黑体" w:cs="Times New Roman"/>
          <w:sz w:val="24"/>
          <w:lang w:val="en-US" w:eastAsia="zh-CN"/>
        </w:rPr>
        <w:t>五</w:t>
      </w:r>
      <w:r>
        <w:rPr>
          <w:rFonts w:ascii="Times New Roman" w:hAnsi="Times New Roman" w:eastAsia="黑体" w:cs="Times New Roman"/>
          <w:sz w:val="24"/>
        </w:rPr>
        <w:t>、</w:t>
      </w:r>
      <w:r>
        <w:rPr>
          <w:rFonts w:hint="eastAsia" w:ascii="Times New Roman" w:hAnsi="Times New Roman" w:eastAsia="黑体" w:cs="Times New Roman"/>
          <w:sz w:val="24"/>
        </w:rPr>
        <w:t>信誉情况</w:t>
      </w:r>
    </w:p>
    <w:p>
      <w:pPr>
        <w:spacing w:line="440" w:lineRule="exact"/>
        <w:ind w:left="1619" w:leftChars="771"/>
        <w:rPr>
          <w:rFonts w:hint="eastAsia" w:ascii="Times New Roman" w:hAnsi="Times New Roman" w:eastAsia="黑体" w:cs="Times New Roman"/>
          <w:sz w:val="24"/>
        </w:rPr>
      </w:pPr>
      <w:bookmarkStart w:id="97" w:name="_Toc927_WPSOffice_Level1"/>
      <w:bookmarkStart w:id="98" w:name="_Toc32220_WPSOffice_Level1"/>
      <w:bookmarkStart w:id="99" w:name="_Toc20930_WPSOffice_Level1"/>
      <w:r>
        <w:rPr>
          <w:rFonts w:hint="eastAsia" w:ascii="Times New Roman" w:hAnsi="Times New Roman" w:eastAsia="黑体" w:cs="Times New Roman"/>
          <w:sz w:val="24"/>
          <w:lang w:val="en-US" w:eastAsia="zh-CN"/>
        </w:rPr>
        <w:t>六</w:t>
      </w:r>
      <w:r>
        <w:rPr>
          <w:rFonts w:ascii="Times New Roman" w:hAnsi="Times New Roman" w:eastAsia="黑体" w:cs="Times New Roman"/>
          <w:sz w:val="24"/>
        </w:rPr>
        <w:t>、</w:t>
      </w:r>
      <w:bookmarkEnd w:id="95"/>
      <w:bookmarkEnd w:id="96"/>
      <w:bookmarkEnd w:id="97"/>
      <w:bookmarkEnd w:id="98"/>
      <w:bookmarkEnd w:id="99"/>
      <w:r>
        <w:rPr>
          <w:rFonts w:hint="eastAsia" w:ascii="Times New Roman" w:hAnsi="Times New Roman" w:eastAsia="黑体" w:cs="Times New Roman"/>
          <w:sz w:val="24"/>
          <w:lang w:val="en-US" w:eastAsia="zh-CN"/>
        </w:rPr>
        <w:t>供货方案</w:t>
      </w:r>
    </w:p>
    <w:p>
      <w:pPr>
        <w:spacing w:line="440" w:lineRule="exact"/>
        <w:ind w:left="1619" w:leftChars="771"/>
        <w:rPr>
          <w:rFonts w:hint="eastAsia" w:ascii="Times New Roman" w:hAnsi="Times New Roman" w:eastAsia="黑体" w:cs="Times New Roman"/>
          <w:sz w:val="24"/>
        </w:rPr>
      </w:pPr>
      <w:bookmarkStart w:id="100" w:name="_Toc25973_WPSOffice_Level1"/>
      <w:bookmarkStart w:id="101" w:name="_Toc16988_WPSOffice_Level1"/>
      <w:bookmarkStart w:id="102" w:name="_Toc5885_WPSOffice_Level1"/>
      <w:r>
        <w:rPr>
          <w:rFonts w:hint="eastAsia" w:ascii="Times New Roman" w:hAnsi="Times New Roman" w:eastAsia="黑体" w:cs="Times New Roman"/>
          <w:sz w:val="24"/>
          <w:lang w:val="en-US" w:eastAsia="zh-CN"/>
        </w:rPr>
        <w:t>七</w:t>
      </w:r>
      <w:r>
        <w:rPr>
          <w:rFonts w:hint="eastAsia" w:ascii="Times New Roman" w:hAnsi="Times New Roman" w:eastAsia="黑体" w:cs="Times New Roman"/>
          <w:sz w:val="24"/>
        </w:rPr>
        <w:t>、其他材料</w:t>
      </w:r>
      <w:bookmarkEnd w:id="79"/>
      <w:bookmarkEnd w:id="100"/>
      <w:bookmarkEnd w:id="101"/>
      <w:bookmarkEnd w:id="102"/>
    </w:p>
    <w:p>
      <w:pPr>
        <w:pStyle w:val="18"/>
      </w:pP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0"/>
          <w:szCs w:val="20"/>
        </w:rPr>
      </w:pPr>
      <w:r>
        <w:rPr>
          <w:rFonts w:ascii="Times New Roman" w:hAnsi="Times New Roman" w:eastAsia="黑体" w:cs="Times New Roman"/>
          <w:sz w:val="20"/>
          <w:szCs w:val="20"/>
        </w:rPr>
        <w:br w:type="page"/>
      </w:r>
      <w:bookmarkStart w:id="103" w:name="_Toc2765_WPSOffice_Level1"/>
      <w:bookmarkStart w:id="104" w:name="_Toc1687_WPSOffice_Level1"/>
      <w:bookmarkStart w:id="105" w:name="_Toc1362_WPSOffice_Level1"/>
      <w:bookmarkStart w:id="106" w:name="_Toc1017_WPSOffice_Level1"/>
      <w:bookmarkStart w:id="107" w:name="_Toc3972_WPSOffice_Level1"/>
      <w:bookmarkStart w:id="108" w:name="_Toc18312_WPSOffice_Level1"/>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w:t>
      </w:r>
      <w:r>
        <w:rPr>
          <w:rFonts w:hint="eastAsia" w:ascii="Times New Roman" w:hAnsi="Times New Roman" w:eastAsia="黑体" w:cs="Times New Roman"/>
          <w:sz w:val="28"/>
          <w:szCs w:val="28"/>
        </w:rPr>
        <w:t>响应函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ascii="Times New Roman" w:hAnsi="Times New Roman" w:cs="Times New Roman"/>
          <w:sz w:val="24"/>
        </w:rPr>
        <w:t>采购人名称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default" w:ascii="Times New Roman" w:hAnsi="Times New Roman" w:eastAsia="宋体" w:cs="Times New Roman"/>
          <w:sz w:val="24"/>
          <w:szCs w:val="24"/>
        </w:rPr>
        <w:t>1．</w:t>
      </w:r>
      <w:r>
        <w:rPr>
          <w:rFonts w:hint="eastAsia" w:ascii="宋体" w:hAnsi="宋体" w:eastAsia="宋体" w:cs="宋体"/>
          <w:sz w:val="24"/>
          <w:szCs w:val="24"/>
        </w:rPr>
        <w:t>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包</w:t>
      </w:r>
      <w:r>
        <w:rPr>
          <w:rFonts w:hint="eastAsia" w:ascii="宋体" w:hAnsi="宋体" w:eastAsia="宋体" w:cs="宋体"/>
          <w:sz w:val="24"/>
          <w:szCs w:val="24"/>
          <w:lang w:eastAsia="zh-CN"/>
        </w:rPr>
        <w:t>采购文件</w:t>
      </w:r>
      <w:r>
        <w:rPr>
          <w:rFonts w:hint="eastAsia" w:ascii="宋体" w:hAnsi="宋体" w:eastAsia="宋体" w:cs="宋体"/>
          <w:sz w:val="24"/>
          <w:szCs w:val="24"/>
        </w:rPr>
        <w:t>的全部内容，愿意以报价文件中的投标总报价（或根据</w:t>
      </w:r>
      <w:r>
        <w:rPr>
          <w:rFonts w:hint="eastAsia" w:ascii="宋体" w:hAnsi="宋体" w:eastAsia="宋体" w:cs="宋体"/>
          <w:sz w:val="24"/>
          <w:szCs w:val="24"/>
          <w:lang w:eastAsia="zh-CN"/>
        </w:rPr>
        <w:t>采购文件</w:t>
      </w:r>
      <w:r>
        <w:rPr>
          <w:rFonts w:hint="eastAsia" w:ascii="宋体" w:hAnsi="宋体" w:eastAsia="宋体" w:cs="宋体"/>
          <w:sz w:val="24"/>
          <w:szCs w:val="24"/>
        </w:rPr>
        <w:t>规定修正核实后确定的另一金额）提供</w:t>
      </w:r>
      <w:r>
        <w:rPr>
          <w:rFonts w:hint="eastAsia" w:ascii="Times New Roman" w:hAnsi="Times New Roman" w:cs="Times New Roman"/>
          <w:sz w:val="24"/>
          <w:lang w:val="en-US" w:eastAsia="zh-CN"/>
        </w:rPr>
        <w:t>提供采购文件要求的货物、技术服务和质保售后服务，并按合同约定履行义务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2．</w:t>
      </w:r>
      <w:r>
        <w:rPr>
          <w:rFonts w:hint="eastAsia" w:ascii="宋体" w:hAnsi="宋体" w:eastAsia="宋体" w:cs="宋体"/>
          <w:sz w:val="24"/>
          <w:szCs w:val="24"/>
        </w:rPr>
        <w:t>我方承诺响应</w:t>
      </w:r>
      <w:r>
        <w:rPr>
          <w:rFonts w:hint="eastAsia" w:ascii="宋体" w:hAnsi="宋体" w:eastAsia="宋体" w:cs="宋体"/>
          <w:sz w:val="24"/>
          <w:szCs w:val="24"/>
          <w:lang w:eastAsia="zh-CN"/>
        </w:rPr>
        <w:t>采购文件</w:t>
      </w:r>
      <w:r>
        <w:rPr>
          <w:rFonts w:hint="eastAsia" w:ascii="宋体" w:hAnsi="宋体" w:eastAsia="宋体" w:cs="宋体"/>
          <w:sz w:val="24"/>
          <w:szCs w:val="24"/>
        </w:rPr>
        <w:t>的全部要求。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Times New Roman" w:hAnsi="Times New Roman" w:eastAsia="宋体" w:cs="Times New Roman"/>
          <w:sz w:val="24"/>
          <w:szCs w:val="24"/>
        </w:rPr>
        <w:t>3．</w:t>
      </w:r>
      <w:r>
        <w:rPr>
          <w:rFonts w:hint="eastAsia" w:ascii="宋体" w:hAnsi="宋体" w:eastAsia="宋体" w:cs="宋体"/>
          <w:sz w:val="24"/>
          <w:szCs w:val="24"/>
        </w:rPr>
        <w:t>我方承诺在</w:t>
      </w:r>
      <w:r>
        <w:rPr>
          <w:rFonts w:hint="eastAsia" w:ascii="宋体" w:hAnsi="宋体" w:eastAsia="宋体" w:cs="宋体"/>
          <w:sz w:val="24"/>
          <w:szCs w:val="24"/>
          <w:lang w:eastAsia="zh-CN"/>
        </w:rPr>
        <w:t>采购文件</w:t>
      </w:r>
      <w:r>
        <w:rPr>
          <w:rFonts w:hint="eastAsia" w:ascii="宋体" w:hAnsi="宋体" w:eastAsia="宋体" w:cs="宋体"/>
          <w:sz w:val="24"/>
          <w:szCs w:val="24"/>
        </w:rPr>
        <w:t>规定的投标有效期内不撤销投标文件。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4．</w:t>
      </w:r>
      <w:r>
        <w:rPr>
          <w:rFonts w:hint="eastAsia" w:ascii="宋体" w:hAnsi="宋体" w:eastAsia="宋体" w:cs="宋体"/>
          <w:sz w:val="24"/>
          <w:szCs w:val="24"/>
        </w:rPr>
        <w:t>如我方中标，我方承诺：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（3）按照</w:t>
      </w:r>
      <w:r>
        <w:rPr>
          <w:rFonts w:hint="eastAsia" w:ascii="宋体" w:hAnsi="宋体" w:eastAsia="宋体" w:cs="宋体"/>
          <w:sz w:val="24"/>
          <w:szCs w:val="24"/>
          <w:lang w:eastAsia="zh-CN"/>
        </w:rPr>
        <w:t>采购文件</w:t>
      </w:r>
      <w:r>
        <w:rPr>
          <w:rFonts w:hint="eastAsia" w:ascii="宋体" w:hAnsi="宋体" w:eastAsia="宋体" w:cs="宋体"/>
          <w:sz w:val="24"/>
          <w:szCs w:val="24"/>
        </w:rPr>
        <w:t>要求提交履约保证金。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5．</w:t>
      </w:r>
      <w:r>
        <w:rPr>
          <w:rFonts w:hint="eastAsia" w:ascii="宋体" w:hAnsi="宋体" w:eastAsia="宋体" w:cs="宋体"/>
          <w:sz w:val="24"/>
          <w:szCs w:val="24"/>
        </w:rPr>
        <w:t>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6．</w:t>
      </w:r>
      <w:r>
        <w:rPr>
          <w:rFonts w:hint="eastAsia" w:ascii="宋体" w:hAnsi="宋体" w:eastAsia="宋体" w:cs="宋体"/>
          <w:sz w:val="24"/>
          <w:szCs w:val="24"/>
        </w:rPr>
        <w:t>在合同协议书正式签署生效之前，本投标函连同你方的中标通知书将构成我们双方之间共同遵守的文件，对双方具有约束力。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default" w:ascii="Times New Roman" w:hAnsi="Times New Roman" w:eastAsia="宋体" w:cs="Times New Roman"/>
          <w:sz w:val="24"/>
          <w:szCs w:val="24"/>
        </w:rPr>
        <w:t>7．</w:t>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地  址</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rPr>
      </w:pP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18"/>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0"/>
          <w:szCs w:val="20"/>
        </w:rPr>
      </w:pPr>
    </w:p>
    <w:p>
      <w:pPr>
        <w:pStyle w:val="5"/>
        <w:outlineLvl w:val="9"/>
        <w:rPr>
          <w:rFonts w:ascii="Times New Roman" w:hAnsi="Times New Roman" w:eastAsia="黑体" w:cs="Times New Roman"/>
          <w:sz w:val="20"/>
          <w:szCs w:val="20"/>
        </w:rPr>
      </w:pPr>
    </w:p>
    <w:p>
      <w:pPr>
        <w:rPr>
          <w:rFonts w:ascii="Times New Roman" w:hAnsi="Times New Roman" w:eastAsia="黑体" w:cs="Times New Roman"/>
          <w:sz w:val="20"/>
          <w:szCs w:val="20"/>
        </w:rPr>
      </w:pPr>
    </w:p>
    <w:p>
      <w:pPr>
        <w:pStyle w:val="2"/>
      </w:pPr>
    </w:p>
    <w:p/>
    <w:bookmarkEnd w:id="103"/>
    <w:bookmarkEnd w:id="104"/>
    <w:bookmarkEnd w:id="105"/>
    <w:bookmarkEnd w:id="106"/>
    <w:bookmarkEnd w:id="107"/>
    <w:bookmarkEnd w:id="108"/>
    <w:p>
      <w:pPr>
        <w:spacing w:line="440" w:lineRule="exact"/>
        <w:jc w:val="center"/>
        <w:rPr>
          <w:rFonts w:ascii="Times New Roman" w:hAnsi="Times New Roman" w:eastAsia="黑体" w:cs="Times New Roman"/>
          <w:sz w:val="28"/>
          <w:szCs w:val="28"/>
        </w:rPr>
      </w:pPr>
      <w:bookmarkStart w:id="109" w:name="_Toc14563_WPSOffice_Level1"/>
      <w:bookmarkStart w:id="110" w:name="_Toc4951_WPSOffice_Level1"/>
      <w:bookmarkStart w:id="111" w:name="_Toc18668_WPSOffice_Level1"/>
      <w:bookmarkStart w:id="112" w:name="_Toc32350_WPSOffice_Level1"/>
      <w:bookmarkStart w:id="113" w:name="_Toc1996_WPSOffice_Level1"/>
      <w:bookmarkStart w:id="114" w:name="_Toc21740_WPSOffice_Level1"/>
      <w:r>
        <w:rPr>
          <w:rFonts w:ascii="Times New Roman" w:hAnsi="Times New Roman" w:eastAsia="黑体" w:cs="Times New Roman"/>
          <w:sz w:val="28"/>
          <w:szCs w:val="28"/>
        </w:rPr>
        <w:t>二、法定代表人身份证明及授权委托书</w:t>
      </w:r>
      <w:bookmarkEnd w:id="109"/>
      <w:bookmarkEnd w:id="110"/>
      <w:bookmarkEnd w:id="111"/>
      <w:bookmarkEnd w:id="112"/>
      <w:bookmarkEnd w:id="113"/>
      <w:bookmarkEnd w:id="114"/>
    </w:p>
    <w:p>
      <w:pPr>
        <w:spacing w:line="440" w:lineRule="exact"/>
        <w:jc w:val="center"/>
        <w:rPr>
          <w:rFonts w:ascii="Times New Roman" w:hAnsi="Times New Roman" w:cs="Times New Roman"/>
          <w:sz w:val="28"/>
          <w:szCs w:val="28"/>
        </w:rPr>
      </w:pPr>
      <w:bookmarkStart w:id="115" w:name="_Toc5153_WPSOffice_Level2"/>
      <w:bookmarkStart w:id="116" w:name="_Toc20803_WPSOffice_Level2"/>
      <w:r>
        <w:rPr>
          <w:rFonts w:ascii="Times New Roman" w:hAnsi="Times New Roman" w:eastAsia="黑体" w:cs="Times New Roman"/>
          <w:bCs/>
          <w:sz w:val="28"/>
          <w:szCs w:val="28"/>
        </w:rPr>
        <w:t>2-1 法定代表人身份证明</w:t>
      </w:r>
      <w:bookmarkEnd w:id="115"/>
      <w:bookmarkEnd w:id="116"/>
    </w:p>
    <w:p>
      <w:pPr>
        <w:spacing w:line="440" w:lineRule="exact"/>
        <w:rPr>
          <w:rFonts w:ascii="Times New Roman" w:hAnsi="Times New Roman" w:cs="Times New Roman"/>
          <w:sz w:val="20"/>
          <w:szCs w:val="20"/>
        </w:rPr>
      </w:pP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日</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sz w:val="24"/>
        </w:rPr>
        <w:t xml:space="preserve"> 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spacing w:line="44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(供应商名称)的法定代表人。</w:t>
      </w:r>
    </w:p>
    <w:p>
      <w:pPr>
        <w:spacing w:line="440" w:lineRule="exact"/>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附：法定代表人身份证正反面复印件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宋体" w:hAnsi="宋体" w:eastAsia="宋体" w:cs="宋体"/>
          <w:sz w:val="24"/>
        </w:rPr>
      </w:pPr>
      <w:r>
        <w:rPr>
          <w:rFonts w:ascii="Times New Roman" w:hAnsi="Times New Roman" w:cs="Times New Roman"/>
          <w:sz w:val="24"/>
        </w:rPr>
        <w:t xml:space="preserve">                         </w:t>
      </w:r>
      <w:r>
        <w:rPr>
          <w:rFonts w:hint="eastAsia" w:ascii="宋体" w:hAnsi="宋体" w:eastAsia="宋体" w:cs="宋体"/>
          <w:sz w:val="24"/>
        </w:rPr>
        <w:t xml:space="preserve"> 供应商：</w:t>
      </w:r>
      <w:r>
        <w:rPr>
          <w:rFonts w:hint="eastAsia" w:ascii="宋体" w:hAnsi="宋体" w:eastAsia="宋体" w:cs="宋体"/>
          <w:sz w:val="24"/>
          <w:u w:val="single"/>
        </w:rPr>
        <w:t xml:space="preserve">                 </w:t>
      </w:r>
      <w:r>
        <w:rPr>
          <w:rFonts w:hint="eastAsia" w:ascii="宋体" w:hAnsi="宋体" w:eastAsia="宋体" w:cs="宋体"/>
          <w:sz w:val="24"/>
        </w:rPr>
        <w:t>(盖单位章)</w:t>
      </w:r>
    </w:p>
    <w:p>
      <w:pPr>
        <w:spacing w:line="440" w:lineRule="exact"/>
        <w:rPr>
          <w:rFonts w:ascii="Times New Roman" w:hAnsi="Times New Roman" w:cs="Times New Roman"/>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 日  </w:t>
      </w:r>
      <w:r>
        <w:rPr>
          <w:rFonts w:ascii="Times New Roman" w:hAnsi="Times New Roman" w:cs="Times New Roman"/>
          <w:sz w:val="24"/>
        </w:rPr>
        <w:t xml:space="preserve">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hint="eastAsia" w:ascii="Times New Roman" w:hAnsi="Times New Roman" w:cs="Times New Roman" w:eastAsiaTheme="minorEastAsia"/>
          <w:sz w:val="28"/>
          <w:szCs w:val="28"/>
          <w:lang w:eastAsia="zh-CN"/>
        </w:rPr>
      </w:pPr>
      <w:r>
        <w:rPr>
          <w:rFonts w:ascii="Times New Roman" w:hAnsi="Times New Roman" w:eastAsia="黑体" w:cs="Times New Roman"/>
          <w:sz w:val="24"/>
        </w:rPr>
        <w:br w:type="page"/>
      </w:r>
      <w:bookmarkStart w:id="117" w:name="_Toc12035_WPSOffice_Level2"/>
      <w:bookmarkStart w:id="118"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17"/>
      <w:bookmarkEnd w:id="118"/>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b/>
          <w:bCs/>
          <w:sz w:val="24"/>
          <w:highlight w:val="none"/>
        </w:rPr>
      </w:pPr>
      <w:r>
        <w:rPr>
          <w:rFonts w:ascii="Times New Roman" w:hAnsi="Times New Roman" w:cs="Times New Roman"/>
          <w:b/>
          <w:bCs/>
          <w:sz w:val="24"/>
          <w:highlight w:val="none"/>
        </w:rPr>
        <w:t>附：法定代表人身份证明</w:t>
      </w:r>
      <w:r>
        <w:rPr>
          <w:rFonts w:hint="eastAsia" w:ascii="Times New Roman" w:hAnsi="Times New Roman" w:cs="Times New Roman"/>
          <w:b/>
          <w:bCs/>
          <w:sz w:val="24"/>
          <w:highlight w:val="none"/>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Theme="minorEastAsia" w:hAnsiTheme="minorEastAsia" w:eastAsiaTheme="minorEastAsia" w:cstheme="minorEastAsia"/>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Theme="minorEastAsia" w:hAnsiTheme="minorEastAsia" w:eastAsiaTheme="minorEastAsia" w:cstheme="minorEastAsia"/>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hint="eastAsia" w:ascii="宋体" w:hAnsi="宋体" w:eastAsia="宋体" w:cs="宋体"/>
          <w:sz w:val="24"/>
          <w:szCs w:val="24"/>
        </w:rPr>
        <w:t>（签字）</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3000" w:firstLineChars="1250"/>
        <w:rPr>
          <w:rFonts w:ascii="Times New Roman" w:hAnsi="Times New Roman" w:eastAsia="黑体" w:cs="Times New Roman"/>
          <w:sz w:val="24"/>
        </w:rPr>
        <w:sectPr>
          <w:headerReference r:id="rId12" w:type="default"/>
          <w:footerReference r:id="rId13"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bookmarkStart w:id="119" w:name="_Toc32085_WPSOffice_Level1"/>
      <w:bookmarkStart w:id="120" w:name="_Toc28828_WPSOffice_Level1"/>
      <w:bookmarkStart w:id="121" w:name="_Toc24530_WPSOffice_Level1"/>
      <w:bookmarkStart w:id="122" w:name="_Toc26364_WPSOffice_Level1"/>
      <w:bookmarkStart w:id="123" w:name="_Toc24567_WPSOffice_Level1"/>
      <w:bookmarkStart w:id="124" w:name="_Toc27513_WPSOffice_Level1"/>
    </w:p>
    <w:bookmarkEnd w:id="119"/>
    <w:bookmarkEnd w:id="120"/>
    <w:bookmarkEnd w:id="121"/>
    <w:bookmarkEnd w:id="122"/>
    <w:bookmarkEnd w:id="123"/>
    <w:bookmarkEnd w:id="124"/>
    <w:p>
      <w:pPr>
        <w:topLinePunct/>
        <w:spacing w:line="440" w:lineRule="exact"/>
        <w:jc w:val="center"/>
        <w:rPr>
          <w:rFonts w:ascii="Times New Roman" w:hAnsi="Times New Roman" w:eastAsia="黑体" w:cs="Times New Roman"/>
          <w:sz w:val="28"/>
          <w:szCs w:val="28"/>
        </w:rPr>
      </w:pPr>
      <w:bookmarkStart w:id="125" w:name="_Toc10646_WPSOffice_Level1"/>
      <w:bookmarkStart w:id="126" w:name="_Toc17124_WPSOffice_Level1"/>
      <w:bookmarkStart w:id="127" w:name="_Toc7738_WPSOffice_Level1"/>
      <w:bookmarkStart w:id="128" w:name="_Toc10436_WPSOffice_Level1"/>
      <w:bookmarkStart w:id="129" w:name="_Toc19015_WPSOffice_Level1"/>
      <w:bookmarkStart w:id="130" w:name="_Toc31445_WPSOffice_Level1"/>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w:t>
      </w:r>
      <w:bookmarkStart w:id="131" w:name="_Toc2807_WPSOffice_Level2"/>
      <w:bookmarkStart w:id="132" w:name="_Toc27600_WPSOffice_Level2"/>
      <w:r>
        <w:rPr>
          <w:rFonts w:ascii="Times New Roman" w:hAnsi="Times New Roman" w:eastAsia="黑体" w:cs="Times New Roman"/>
          <w:sz w:val="28"/>
          <w:szCs w:val="28"/>
        </w:rPr>
        <w:t>供应商基本情况</w:t>
      </w:r>
      <w:bookmarkEnd w:id="125"/>
      <w:bookmarkEnd w:id="126"/>
      <w:bookmarkEnd w:id="127"/>
      <w:bookmarkEnd w:id="128"/>
      <w:bookmarkEnd w:id="129"/>
      <w:bookmarkEnd w:id="130"/>
      <w:bookmarkEnd w:id="131"/>
      <w:bookmarkEnd w:id="132"/>
    </w:p>
    <w:p>
      <w:pPr>
        <w:topLinePunct/>
        <w:spacing w:line="440" w:lineRule="exact"/>
        <w:jc w:val="center"/>
        <w:rPr>
          <w:rFonts w:ascii="Times New Roman" w:hAnsi="Times New Roman" w:cs="Times New Roman"/>
          <w:sz w:val="23"/>
          <w:szCs w:val="23"/>
        </w:rPr>
      </w:pPr>
    </w:p>
    <w:tbl>
      <w:tblPr>
        <w:tblStyle w:val="19"/>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keepNext w:val="0"/>
        <w:keepLines w:val="0"/>
        <w:pageBreakBefore w:val="0"/>
        <w:widowControl/>
        <w:kinsoku/>
        <w:wordWrap/>
        <w:overflowPunct/>
        <w:topLinePunct w:val="0"/>
        <w:autoSpaceDE w:val="0"/>
        <w:autoSpaceDN w:val="0"/>
        <w:bidi w:val="0"/>
        <w:adjustRightInd/>
        <w:snapToGrid/>
        <w:spacing w:line="360" w:lineRule="atLeast"/>
        <w:ind w:firstLine="420" w:firstLineChars="200"/>
        <w:textAlignment w:val="bottom"/>
        <w:rPr>
          <w:rFonts w:ascii="Times New Roman" w:hAnsi="Times New Roman" w:eastAsia="黑体" w:cs="Times New Roman"/>
          <w:sz w:val="21"/>
          <w:szCs w:val="21"/>
        </w:rPr>
      </w:pPr>
      <w:r>
        <w:rPr>
          <w:rFonts w:ascii="Times New Roman" w:hAnsi="Times New Roman" w:eastAsia="黑体" w:cs="Times New Roman"/>
          <w:sz w:val="21"/>
          <w:szCs w:val="21"/>
        </w:rPr>
        <w:t>在本表后应附企业法人</w:t>
      </w:r>
      <w:r>
        <w:rPr>
          <w:rFonts w:ascii="Times New Roman" w:hAnsi="Times New Roman" w:eastAsia="黑体" w:cs="Times New Roman"/>
          <w:b/>
          <w:bCs/>
          <w:sz w:val="21"/>
          <w:szCs w:val="21"/>
        </w:rPr>
        <w:t>营业执照、</w:t>
      </w:r>
      <w:r>
        <w:rPr>
          <w:rFonts w:hint="eastAsia" w:ascii="Times New Roman" w:hAnsi="Times New Roman" w:eastAsia="黑体" w:cs="Times New Roman"/>
          <w:b/>
          <w:bCs/>
          <w:sz w:val="21"/>
          <w:szCs w:val="21"/>
          <w:lang w:val="en-US" w:eastAsia="zh-CN"/>
        </w:rPr>
        <w:t>制造商（生产厂家）</w:t>
      </w:r>
      <w:r>
        <w:rPr>
          <w:rFonts w:hint="eastAsia" w:ascii="Times New Roman" w:hAnsi="Times New Roman" w:eastAsia="黑体" w:cs="Times New Roman"/>
          <w:b/>
          <w:bCs/>
          <w:sz w:val="21"/>
          <w:szCs w:val="21"/>
          <w:highlight w:val="none"/>
          <w:lang w:val="en-US" w:eastAsia="zh-CN"/>
        </w:rPr>
        <w:t>证明材料</w:t>
      </w:r>
      <w:r>
        <w:rPr>
          <w:rFonts w:ascii="Times New Roman" w:hAnsi="Times New Roman" w:eastAsia="黑体" w:cs="Times New Roman"/>
          <w:sz w:val="21"/>
          <w:szCs w:val="21"/>
        </w:rPr>
        <w:t>及资格审查要求的其他证件复印件。</w:t>
      </w:r>
    </w:p>
    <w:p>
      <w:pPr>
        <w:keepNext w:val="0"/>
        <w:keepLines w:val="0"/>
        <w:pageBreakBefore w:val="0"/>
        <w:widowControl/>
        <w:kinsoku/>
        <w:wordWrap/>
        <w:overflowPunct/>
        <w:topLinePunct w:val="0"/>
        <w:autoSpaceDE w:val="0"/>
        <w:autoSpaceDN w:val="0"/>
        <w:bidi w:val="0"/>
        <w:adjustRightInd/>
        <w:snapToGrid/>
        <w:spacing w:line="360" w:lineRule="atLeast"/>
        <w:ind w:left="420" w:leftChars="200" w:firstLine="420" w:firstLineChars="200"/>
        <w:textAlignment w:val="bottom"/>
        <w:rPr>
          <w:rFonts w:ascii="Times New Roman" w:hAnsi="Times New Roman" w:eastAsia="黑体" w:cs="Times New Roman"/>
          <w:szCs w:val="21"/>
        </w:rPr>
      </w:pPr>
    </w:p>
    <w:p>
      <w:pPr>
        <w:spacing w:line="360" w:lineRule="auto"/>
        <w:ind w:firstLine="2520" w:firstLineChars="1200"/>
        <w:rPr>
          <w:rFonts w:hint="eastAsia" w:hAnsi="宋体" w:cs="宋体"/>
          <w:bCs/>
          <w:color w:val="auto"/>
        </w:rPr>
      </w:pPr>
      <w:r>
        <w:rPr>
          <w:rFonts w:ascii="Times New Roman" w:hAnsi="Times New Roman" w:eastAsia="黑体" w:cs="Times New Roman"/>
          <w:szCs w:val="21"/>
        </w:rPr>
        <w:br w:type="page"/>
      </w:r>
    </w:p>
    <w:p>
      <w:pPr>
        <w:bidi w:val="0"/>
        <w:jc w:val="center"/>
        <w:rPr>
          <w:rFonts w:hint="eastAsia" w:ascii="黑体" w:hAnsi="黑体" w:eastAsia="黑体" w:cs="黑体"/>
          <w:sz w:val="28"/>
          <w:szCs w:val="28"/>
        </w:rPr>
      </w:pPr>
      <w:bookmarkStart w:id="133" w:name="_Toc18547_WPSOffice_Level1"/>
      <w:bookmarkStart w:id="134" w:name="_Toc3772_WPSOffice_Level1"/>
      <w:bookmarkStart w:id="135" w:name="_Toc1452_WPSOffice_Level1"/>
      <w:bookmarkStart w:id="136" w:name="_Toc5072_WPSOffice_Level1"/>
      <w:bookmarkStart w:id="137" w:name="_Toc19004_WPSOffice_Level1"/>
      <w:bookmarkStart w:id="138" w:name="_Toc3912"/>
      <w:r>
        <w:rPr>
          <w:rFonts w:hint="eastAsia" w:ascii="黑体" w:hAnsi="黑体" w:eastAsia="黑体" w:cs="黑体"/>
          <w:sz w:val="28"/>
          <w:szCs w:val="28"/>
          <w:lang w:val="en-US" w:eastAsia="zh-CN"/>
        </w:rPr>
        <w:t>四</w:t>
      </w:r>
      <w:r>
        <w:rPr>
          <w:rFonts w:hint="eastAsia" w:ascii="黑体" w:hAnsi="黑体" w:eastAsia="黑体" w:cs="黑体"/>
          <w:sz w:val="28"/>
          <w:szCs w:val="28"/>
        </w:rPr>
        <w:t>、近年类似业绩情况</w:t>
      </w:r>
      <w:bookmarkEnd w:id="133"/>
      <w:bookmarkEnd w:id="134"/>
      <w:bookmarkEnd w:id="135"/>
      <w:bookmarkEnd w:id="136"/>
      <w:bookmarkEnd w:id="137"/>
      <w:bookmarkEnd w:id="138"/>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业主代表姓名</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业主代表</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lang w:val="en-US" w:eastAsia="zh-CN"/>
              </w:rPr>
              <w:t>供货</w:t>
            </w:r>
            <w:r>
              <w:rPr>
                <w:rFonts w:hint="eastAsia" w:ascii="Times New Roman" w:hAnsi="Times New Roman" w:cs="Times New Roman"/>
                <w:szCs w:val="21"/>
              </w:rPr>
              <w:t>内容</w:t>
            </w:r>
            <w:r>
              <w:rPr>
                <w:rFonts w:ascii="Times New Roman" w:hAnsi="Times New Roman" w:cs="Times New Roman"/>
                <w:szCs w:val="21"/>
              </w:rPr>
              <w:t>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 w:val="20"/>
          <w:szCs w:val="20"/>
        </w:rPr>
      </w:pPr>
      <w:r>
        <w:rPr>
          <w:rFonts w:ascii="Times New Roman" w:hAnsi="Times New Roman" w:eastAsia="黑体" w:cs="Times New Roman"/>
          <w:sz w:val="20"/>
          <w:szCs w:val="20"/>
        </w:rPr>
        <w:t>注：</w:t>
      </w:r>
    </w:p>
    <w:p>
      <w:pPr>
        <w:keepNext w:val="0"/>
        <w:keepLines w:val="0"/>
        <w:pageBreakBefore w:val="0"/>
        <w:widowControl/>
        <w:numPr>
          <w:ilvl w:val="0"/>
          <w:numId w:val="4"/>
        </w:numPr>
        <w:kinsoku/>
        <w:wordWrap/>
        <w:overflowPunct/>
        <w:topLinePunct w:val="0"/>
        <w:autoSpaceDE w:val="0"/>
        <w:autoSpaceDN w:val="0"/>
        <w:bidi w:val="0"/>
        <w:adjustRightInd/>
        <w:snapToGrid/>
        <w:spacing w:line="320" w:lineRule="exact"/>
        <w:ind w:left="0" w:leftChars="0" w:firstLine="420" w:firstLineChars="200"/>
        <w:textAlignment w:val="bottom"/>
        <w:rPr>
          <w:rFonts w:hint="eastAsia" w:ascii="黑体" w:hAnsi="黑体" w:eastAsia="黑体" w:cs="黑体"/>
          <w:sz w:val="21"/>
          <w:szCs w:val="21"/>
        </w:rPr>
      </w:pPr>
      <w:r>
        <w:rPr>
          <w:rFonts w:hint="eastAsia" w:ascii="黑体" w:hAnsi="黑体" w:eastAsia="黑体" w:cs="黑体"/>
          <w:sz w:val="21"/>
          <w:szCs w:val="21"/>
        </w:rPr>
        <w:t>每张表格只填写一个项目，并标明序号。</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hint="default" w:ascii="黑体" w:hAnsi="黑体" w:eastAsia="黑体" w:cs="黑体"/>
          <w:sz w:val="21"/>
          <w:szCs w:val="21"/>
          <w:lang w:val="en-US" w:eastAsia="zh-CN"/>
        </w:rPr>
      </w:pPr>
      <w:r>
        <w:rPr>
          <w:rFonts w:hint="eastAsia" w:ascii="黑体" w:hAnsi="黑体" w:eastAsia="黑体" w:cs="黑体"/>
          <w:sz w:val="21"/>
          <w:szCs w:val="21"/>
        </w:rPr>
        <w:t>2、业绩证明材料要求：</w:t>
      </w:r>
      <w:r>
        <w:rPr>
          <w:rFonts w:hint="eastAsia" w:ascii="黑体" w:hAnsi="黑体" w:eastAsia="黑体" w:cs="黑体"/>
          <w:sz w:val="21"/>
          <w:szCs w:val="21"/>
          <w:u w:val="single"/>
          <w:lang w:val="en-US" w:eastAsia="zh-CN"/>
        </w:rPr>
        <w:t>详见业绩要求</w:t>
      </w:r>
      <w:r>
        <w:rPr>
          <w:rFonts w:hint="eastAsia" w:ascii="黑体" w:hAnsi="黑体" w:eastAsia="黑体" w:cs="黑体"/>
          <w:sz w:val="21"/>
          <w:szCs w:val="21"/>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ascii="Times New Roman" w:hAnsi="Times New Roman" w:cs="Times New Roman"/>
          <w:bCs/>
          <w:kern w:val="0"/>
          <w:sz w:val="20"/>
          <w:szCs w:val="20"/>
        </w:rPr>
      </w:pPr>
      <w:r>
        <w:rPr>
          <w:rFonts w:hint="eastAsia" w:ascii="黑体" w:hAnsi="黑体" w:eastAsia="黑体" w:cs="黑体"/>
          <w:sz w:val="21"/>
          <w:szCs w:val="21"/>
        </w:rPr>
        <w:t>3、如近年来，供应商法人机构发生合法变更或重组或法人名称变更时，应提供相关部门的合法批件或其他相关证明材料来证明其所附业绩的继承性。</w:t>
      </w:r>
      <w:r>
        <w:rPr>
          <w:rFonts w:ascii="Times New Roman" w:hAnsi="Times New Roman" w:eastAsia="黑体" w:cs="Times New Roman"/>
          <w:bCs/>
          <w:kern w:val="0"/>
          <w:szCs w:val="21"/>
        </w:rPr>
        <w:br w:type="page"/>
      </w:r>
    </w:p>
    <w:p>
      <w:pPr>
        <w:bidi w:val="0"/>
        <w:jc w:val="center"/>
        <w:rPr>
          <w:rFonts w:ascii="Times New Roman" w:hAnsi="Times New Roman" w:cs="Times New Roman"/>
          <w:bCs/>
          <w:sz w:val="23"/>
          <w:szCs w:val="23"/>
        </w:rPr>
      </w:pPr>
      <w:bookmarkStart w:id="139" w:name="_Toc5889_WPSOffice_Level1"/>
      <w:bookmarkStart w:id="140" w:name="_Toc10810_WPSOffice_Level1"/>
      <w:bookmarkStart w:id="141" w:name="_Toc5403_WPSOffice_Level1"/>
      <w:bookmarkStart w:id="142" w:name="_Toc3893_WPSOffice_Level1"/>
      <w:bookmarkStart w:id="143" w:name="_Toc12019_WPSOffice_Level1"/>
      <w:bookmarkStart w:id="144" w:name="_Toc26594_WPSOffice_Level1"/>
      <w:r>
        <w:rPr>
          <w:rFonts w:hint="eastAsia" w:ascii="黑体" w:hAnsi="黑体" w:eastAsia="黑体" w:cs="黑体"/>
          <w:sz w:val="28"/>
          <w:szCs w:val="28"/>
          <w:lang w:val="en-US" w:eastAsia="zh-CN"/>
        </w:rPr>
        <w:t>五</w:t>
      </w:r>
      <w:r>
        <w:rPr>
          <w:rFonts w:hint="eastAsia" w:ascii="黑体" w:hAnsi="黑体" w:eastAsia="黑体" w:cs="黑体"/>
          <w:sz w:val="28"/>
          <w:szCs w:val="28"/>
        </w:rPr>
        <w:t>、信誉情况</w:t>
      </w:r>
      <w:bookmarkEnd w:id="139"/>
      <w:bookmarkEnd w:id="140"/>
      <w:bookmarkEnd w:id="141"/>
      <w:bookmarkEnd w:id="142"/>
      <w:bookmarkEnd w:id="143"/>
      <w:bookmarkEnd w:id="144"/>
    </w:p>
    <w:p>
      <w:pPr>
        <w:topLinePunct/>
        <w:spacing w:line="440" w:lineRule="exact"/>
        <w:rPr>
          <w:rFonts w:ascii="Times New Roman" w:hAnsi="Times New Roman" w:cs="Times New Roman"/>
          <w:bCs/>
          <w:sz w:val="23"/>
          <w:szCs w:val="23"/>
        </w:rPr>
      </w:pPr>
    </w:p>
    <w:tbl>
      <w:tblPr>
        <w:tblStyle w:val="19"/>
        <w:tblW w:w="0" w:type="auto"/>
        <w:jc w:val="center"/>
        <w:tblLayout w:type="fixed"/>
        <w:tblCellMar>
          <w:top w:w="0" w:type="dxa"/>
          <w:left w:w="108" w:type="dxa"/>
          <w:bottom w:w="0" w:type="dxa"/>
          <w:right w:w="108" w:type="dxa"/>
        </w:tblCellMar>
      </w:tblPr>
      <w:tblGrid>
        <w:gridCol w:w="5104"/>
        <w:gridCol w:w="3968"/>
      </w:tblGrid>
      <w:tr>
        <w:tblPrEx>
          <w:tblCellMar>
            <w:top w:w="0" w:type="dxa"/>
            <w:left w:w="108" w:type="dxa"/>
            <w:bottom w:w="0" w:type="dxa"/>
            <w:right w:w="108" w:type="dxa"/>
          </w:tblCellMar>
        </w:tblPrEx>
        <w:trPr>
          <w:trHeight w:val="622" w:hRule="atLeast"/>
          <w:jc w:val="center"/>
        </w:trPr>
        <w:tc>
          <w:tcPr>
            <w:tcW w:w="5104"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sz w:val="22"/>
                <w:szCs w:val="22"/>
                <w:highlight w:val="none"/>
              </w:rPr>
            </w:pPr>
            <w:r>
              <w:rPr>
                <w:rFonts w:hint="eastAsia"/>
                <w:sz w:val="22"/>
                <w:szCs w:val="22"/>
                <w:highlight w:val="none"/>
              </w:rPr>
              <w:t>项  目</w:t>
            </w:r>
          </w:p>
        </w:tc>
        <w:tc>
          <w:tcPr>
            <w:tcW w:w="3968" w:type="dxa"/>
            <w:tcBorders>
              <w:top w:val="single" w:color="auto" w:sz="12" w:space="0"/>
              <w:left w:val="single" w:color="auto" w:sz="4" w:space="0"/>
              <w:bottom w:val="single" w:color="auto" w:sz="4" w:space="0"/>
              <w:right w:val="single" w:color="auto" w:sz="12" w:space="0"/>
            </w:tcBorders>
            <w:noWrap w:val="0"/>
            <w:vAlign w:val="center"/>
          </w:tcPr>
          <w:p>
            <w:pPr>
              <w:spacing w:line="400" w:lineRule="exact"/>
              <w:jc w:val="center"/>
              <w:rPr>
                <w:sz w:val="22"/>
                <w:szCs w:val="22"/>
                <w:highlight w:val="none"/>
              </w:rPr>
            </w:pPr>
            <w:r>
              <w:rPr>
                <w:rFonts w:hint="eastAsia"/>
                <w:sz w:val="22"/>
                <w:szCs w:val="22"/>
                <w:highlight w:val="none"/>
              </w:rPr>
              <w:t>投标人情况说明</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left"/>
              <w:rPr>
                <w:rFonts w:eastAsia="黑体"/>
                <w:sz w:val="22"/>
                <w:szCs w:val="22"/>
                <w:highlight w:val="none"/>
              </w:rPr>
            </w:pPr>
            <w:r>
              <w:rPr>
                <w:rFonts w:hint="eastAsia"/>
                <w:sz w:val="22"/>
                <w:szCs w:val="22"/>
                <w:highlight w:val="none"/>
              </w:rPr>
              <w:t>（1</w:t>
            </w:r>
            <w:r>
              <w:rPr>
                <w:rFonts w:hint="eastAsia" w:hAnsi="宋体"/>
                <w:sz w:val="22"/>
                <w:szCs w:val="22"/>
                <w:highlight w:val="none"/>
              </w:rPr>
              <w:t>）</w:t>
            </w:r>
            <w:r>
              <w:rPr>
                <w:rFonts w:hint="eastAsia"/>
                <w:sz w:val="22"/>
                <w:highlight w:val="none"/>
              </w:rPr>
              <w:t>投标人或其法定代表人在近三年内有行贿犯罪行为</w:t>
            </w:r>
            <w:r>
              <w:rPr>
                <w:rFonts w:hint="eastAsia" w:hAnsi="宋体"/>
                <w:sz w:val="22"/>
                <w:szCs w:val="21"/>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spacing w:line="400" w:lineRule="exact"/>
              <w:rPr>
                <w:rFonts w:eastAsia="黑体"/>
                <w:sz w:val="22"/>
                <w:szCs w:val="22"/>
                <w:highlight w:val="none"/>
              </w:rPr>
            </w:pPr>
            <w:r>
              <w:rPr>
                <w:rFonts w:hint="eastAsia" w:hAnsi="宋体"/>
                <w:sz w:val="22"/>
                <w:szCs w:val="22"/>
                <w:highlight w:val="none"/>
              </w:rPr>
              <w:t>（</w:t>
            </w:r>
            <w:r>
              <w:rPr>
                <w:rFonts w:hint="eastAsia"/>
                <w:sz w:val="22"/>
                <w:szCs w:val="22"/>
                <w:highlight w:val="none"/>
              </w:rPr>
              <w:t>2</w:t>
            </w:r>
            <w:r>
              <w:rPr>
                <w:rFonts w:hint="eastAsia" w:hAnsi="宋体"/>
                <w:sz w:val="22"/>
                <w:szCs w:val="22"/>
                <w:highlight w:val="none"/>
              </w:rPr>
              <w:t>）</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7"/>
                <w:color w:val="auto"/>
                <w:sz w:val="22"/>
                <w:szCs w:val="22"/>
                <w:highlight w:val="none"/>
              </w:rPr>
              <w:t>在</w:t>
            </w:r>
            <w:r>
              <w:rPr>
                <w:rStyle w:val="27"/>
                <w:rFonts w:hint="eastAsia"/>
                <w:color w:val="auto"/>
                <w:sz w:val="22"/>
                <w:szCs w:val="22"/>
                <w:highlight w:val="none"/>
              </w:rPr>
              <w:t>“</w:t>
            </w:r>
            <w:r>
              <w:rPr>
                <w:rStyle w:val="27"/>
                <w:color w:val="auto"/>
                <w:sz w:val="22"/>
                <w:szCs w:val="22"/>
                <w:highlight w:val="none"/>
              </w:rPr>
              <w:t>信用中国</w:t>
            </w:r>
            <w:r>
              <w:rPr>
                <w:rStyle w:val="27"/>
                <w:rFonts w:hint="eastAsia"/>
                <w:color w:val="auto"/>
                <w:sz w:val="22"/>
                <w:szCs w:val="22"/>
                <w:highlight w:val="none"/>
              </w:rPr>
              <w:t>”</w:t>
            </w:r>
            <w:r>
              <w:rPr>
                <w:rStyle w:val="27"/>
                <w:color w:val="auto"/>
                <w:sz w:val="22"/>
                <w:szCs w:val="22"/>
                <w:highlight w:val="none"/>
              </w:rPr>
              <w:t>网站（http://w</w:t>
            </w:r>
            <w:r>
              <w:rPr>
                <w:sz w:val="22"/>
                <w:szCs w:val="22"/>
                <w:highlight w:val="none"/>
              </w:rPr>
              <w:fldChar w:fldCharType="end"/>
            </w:r>
            <w:r>
              <w:rPr>
                <w:sz w:val="22"/>
                <w:szCs w:val="22"/>
                <w:highlight w:val="none"/>
              </w:rPr>
              <w:t>w</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7"/>
                <w:color w:val="auto"/>
                <w:sz w:val="22"/>
                <w:szCs w:val="22"/>
                <w:highlight w:val="none"/>
              </w:rPr>
              <w:t>w.creditchina.gov.c</w:t>
            </w:r>
            <w:r>
              <w:rPr>
                <w:sz w:val="22"/>
                <w:szCs w:val="22"/>
                <w:highlight w:val="none"/>
              </w:rPr>
              <w:fldChar w:fldCharType="end"/>
            </w:r>
            <w:r>
              <w:rPr>
                <w:sz w:val="22"/>
                <w:szCs w:val="22"/>
                <w:highlight w:val="none"/>
              </w:rPr>
              <w:t>n</w:t>
            </w:r>
            <w:r>
              <w:rPr>
                <w:rFonts w:hAnsi="宋体"/>
                <w:sz w:val="22"/>
                <w:szCs w:val="22"/>
                <w:highlight w:val="none"/>
              </w:rPr>
              <w:t>）中</w:t>
            </w:r>
            <w:r>
              <w:rPr>
                <w:rFonts w:hint="eastAsia"/>
                <w:sz w:val="22"/>
                <w:szCs w:val="22"/>
                <w:highlight w:val="none"/>
              </w:rPr>
              <w:t>被列入失信被执行人名单。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2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（3</w:t>
            </w:r>
            <w:r>
              <w:rPr>
                <w:rFonts w:hint="eastAsia" w:hAnsi="宋体"/>
                <w:sz w:val="22"/>
                <w:szCs w:val="22"/>
                <w:highlight w:val="none"/>
              </w:rPr>
              <w:t>）</w:t>
            </w:r>
            <w:r>
              <w:rPr>
                <w:rFonts w:hint="eastAsia"/>
                <w:sz w:val="22"/>
                <w:szCs w:val="22"/>
                <w:highlight w:val="none"/>
              </w:rPr>
              <w:t>最近三年内发生重大产品质量问题。</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75"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（4</w:t>
            </w:r>
            <w:r>
              <w:rPr>
                <w:rFonts w:hint="eastAsia" w:hAnsi="宋体"/>
                <w:sz w:val="22"/>
                <w:szCs w:val="22"/>
                <w:highlight w:val="none"/>
              </w:rPr>
              <w:t>）被责令停业</w:t>
            </w:r>
            <w:r>
              <w:rPr>
                <w:rFonts w:hint="eastAsia"/>
                <w:sz w:val="22"/>
                <w:szCs w:val="22"/>
                <w:highlight w:val="none"/>
              </w:rPr>
              <w:t>，暂扣或吊销执照，或吊销资质证书。</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82"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（5</w:t>
            </w:r>
            <w:r>
              <w:rPr>
                <w:rFonts w:hint="eastAsia" w:hAnsi="宋体"/>
                <w:sz w:val="22"/>
                <w:szCs w:val="22"/>
                <w:highlight w:val="none"/>
              </w:rPr>
              <w:t>）</w:t>
            </w:r>
            <w:r>
              <w:rPr>
                <w:rFonts w:hint="eastAsia"/>
                <w:sz w:val="22"/>
                <w:szCs w:val="22"/>
                <w:highlight w:val="none"/>
              </w:rPr>
              <w:t>进入清算程序，或被宣告破产，或其他丧失履约能力的情形</w:t>
            </w:r>
            <w:r>
              <w:rPr>
                <w:rFonts w:hint="eastAsia" w:hAnsi="宋体"/>
                <w:sz w:val="22"/>
                <w:szCs w:val="22"/>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587"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sz w:val="22"/>
                <w:szCs w:val="22"/>
                <w:highlight w:val="none"/>
              </w:rPr>
            </w:pPr>
            <w:r>
              <w:rPr>
                <w:rFonts w:hint="eastAsia"/>
                <w:sz w:val="22"/>
                <w:szCs w:val="22"/>
                <w:highlight w:val="none"/>
              </w:rPr>
              <w:t>（6）</w:t>
            </w:r>
            <w:r>
              <w:rPr>
                <w:sz w:val="22"/>
                <w:szCs w:val="21"/>
                <w:highlight w:val="none"/>
              </w:rPr>
              <w:t>投标人正受到在本招标项目所在地市级行政区域内取消投标资格的行政处罚。</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jc w:val="left"/>
              <w:rPr>
                <w:rFonts w:hAnsi="宋体"/>
                <w:sz w:val="22"/>
                <w:szCs w:val="22"/>
                <w:highlight w:val="none"/>
              </w:rPr>
            </w:pPr>
            <w:r>
              <w:rPr>
                <w:rFonts w:hint="eastAsia" w:hAnsi="宋体"/>
                <w:sz w:val="22"/>
                <w:szCs w:val="22"/>
                <w:highlight w:val="none"/>
              </w:rPr>
              <w:t>（7）在</w:t>
            </w:r>
            <w:r>
              <w:rPr>
                <w:rFonts w:hint="eastAsia"/>
                <w:sz w:val="22"/>
                <w:szCs w:val="22"/>
                <w:highlight w:val="none"/>
              </w:rPr>
              <w:t>国家企业信用信息公示系统（http://www.gsxt.gov.cn）中被列入严重违法失信企业名单。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hAnsi="宋体"/>
                <w:sz w:val="22"/>
                <w:szCs w:val="22"/>
                <w:highlight w:val="none"/>
              </w:rPr>
            </w:pPr>
            <w:r>
              <w:rPr>
                <w:rFonts w:hint="eastAsia" w:hAnsi="宋体"/>
                <w:sz w:val="22"/>
                <w:szCs w:val="22"/>
                <w:highlight w:val="none"/>
              </w:rPr>
              <w:t>（8）法律法规规定的其他情形。</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p>
        </w:tc>
      </w:tr>
    </w:tbl>
    <w:p>
      <w:pPr>
        <w:autoSpaceDE w:val="0"/>
        <w:snapToGrid w:val="0"/>
        <w:ind w:right="109" w:rightChars="52" w:firstLine="420" w:firstLineChars="200"/>
        <w:rPr>
          <w:rFonts w:hint="eastAsia" w:ascii="宋体" w:hAnsi="宋体" w:cs="宋体"/>
          <w:sz w:val="22"/>
          <w:szCs w:val="18"/>
          <w:highlight w:val="yellow"/>
        </w:rPr>
      </w:pPr>
      <w:r>
        <w:rPr>
          <w:rFonts w:ascii="宋体" w:hAnsi="宋体"/>
          <w:szCs w:val="21"/>
          <w:highlight w:val="none"/>
        </w:rPr>
        <w:t>注：投标人应如实填报，若经查实投标人存在瞒报行为，将取消其投标或中标资格。</w:t>
      </w:r>
    </w:p>
    <w:p>
      <w:pPr>
        <w:pStyle w:val="2"/>
        <w:jc w:val="right"/>
        <w:rPr>
          <w:rFonts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eastAsia="黑体" w:cs="Times New Roman"/>
          <w:sz w:val="27"/>
          <w:szCs w:val="27"/>
        </w:rPr>
      </w:pPr>
    </w:p>
    <w:p>
      <w:pPr>
        <w:spacing w:line="400" w:lineRule="atLeast"/>
        <w:jc w:val="center"/>
        <w:rPr>
          <w:rFonts w:ascii="Times New Roman" w:hAnsi="Times New Roman" w:eastAsia="黑体" w:cs="Times New Roman"/>
          <w:sz w:val="27"/>
          <w:szCs w:val="27"/>
        </w:rPr>
      </w:pPr>
    </w:p>
    <w:p>
      <w:pPr>
        <w:pStyle w:val="2"/>
        <w:rPr>
          <w:rFonts w:ascii="Times New Roman" w:hAnsi="Times New Roman" w:eastAsia="黑体" w:cs="Times New Roman"/>
          <w:sz w:val="27"/>
          <w:szCs w:val="27"/>
        </w:rPr>
      </w:pPr>
    </w:p>
    <w:p>
      <w:pPr>
        <w:rPr>
          <w:rFonts w:ascii="Times New Roman" w:hAnsi="Times New Roman" w:eastAsia="黑体" w:cs="Times New Roman"/>
          <w:sz w:val="27"/>
          <w:szCs w:val="27"/>
        </w:rPr>
      </w:pPr>
    </w:p>
    <w:p>
      <w:pPr>
        <w:pStyle w:val="2"/>
      </w:pPr>
    </w:p>
    <w:p>
      <w:pPr>
        <w:spacing w:line="400" w:lineRule="atLeast"/>
        <w:jc w:val="center"/>
        <w:rPr>
          <w:rFonts w:ascii="Times New Roman" w:hAnsi="Times New Roman" w:eastAsia="黑体" w:cs="Times New Roman"/>
          <w:sz w:val="27"/>
          <w:szCs w:val="27"/>
        </w:rPr>
      </w:pPr>
    </w:p>
    <w:p>
      <w:pPr>
        <w:numPr>
          <w:ilvl w:val="0"/>
          <w:numId w:val="0"/>
        </w:numPr>
        <w:bidi w:val="0"/>
        <w:jc w:val="both"/>
        <w:rPr>
          <w:rFonts w:hint="eastAsia" w:ascii="黑体" w:hAnsi="黑体" w:eastAsia="黑体" w:cs="黑体"/>
          <w:sz w:val="28"/>
          <w:szCs w:val="28"/>
          <w:lang w:val="en-US" w:eastAsia="zh-CN"/>
        </w:rPr>
      </w:pPr>
      <w:bookmarkStart w:id="145" w:name="_Toc22303_WPSOffice_Level1"/>
      <w:bookmarkStart w:id="146" w:name="_Toc19034_WPSOffice_Level1"/>
      <w:bookmarkStart w:id="147" w:name="_Toc31963_WPSOffice_Level1"/>
      <w:bookmarkStart w:id="148" w:name="_Toc13165_WPSOffice_Level1"/>
      <w:bookmarkStart w:id="149" w:name="_Toc5957_WPSOffice_Level1"/>
      <w:bookmarkStart w:id="150" w:name="_Toc2428_WPSOffice_Level1"/>
    </w:p>
    <w:p>
      <w:pPr>
        <w:rPr>
          <w:rFonts w:hint="eastAsia"/>
          <w:lang w:val="en-US" w:eastAsia="zh-CN"/>
        </w:rPr>
      </w:pPr>
    </w:p>
    <w:p>
      <w:pPr>
        <w:numPr>
          <w:ilvl w:val="0"/>
          <w:numId w:val="0"/>
        </w:numPr>
        <w:bidi w:val="0"/>
        <w:jc w:val="center"/>
        <w:rPr>
          <w:rFonts w:hint="eastAsia" w:ascii="Times New Roman"/>
          <w:color w:val="auto"/>
          <w:szCs w:val="24"/>
          <w:lang w:eastAsia="zh-CN"/>
        </w:rPr>
      </w:pPr>
      <w:r>
        <w:rPr>
          <w:rFonts w:hint="eastAsia" w:ascii="黑体" w:hAnsi="黑体" w:eastAsia="黑体" w:cs="黑体"/>
          <w:sz w:val="28"/>
          <w:szCs w:val="28"/>
          <w:lang w:val="en-US" w:eastAsia="zh-CN"/>
        </w:rPr>
        <w:t>六、供货方案</w:t>
      </w:r>
    </w:p>
    <w:p>
      <w:pPr>
        <w:numPr>
          <w:ilvl w:val="0"/>
          <w:numId w:val="0"/>
        </w:numPr>
        <w:bidi w:val="0"/>
        <w:jc w:val="both"/>
        <w:rPr>
          <w:rFonts w:hint="eastAsia" w:ascii="Times New Roman"/>
          <w:color w:val="auto"/>
          <w:sz w:val="24"/>
          <w:szCs w:val="24"/>
          <w:lang w:eastAsia="zh-CN"/>
        </w:rPr>
      </w:pPr>
      <w:r>
        <w:rPr>
          <w:rFonts w:hint="eastAsia" w:ascii="Times New Roman"/>
          <w:color w:val="auto"/>
          <w:sz w:val="24"/>
          <w:szCs w:val="24"/>
          <w:lang w:val="en-US" w:eastAsia="zh-CN"/>
        </w:rPr>
        <w:t>供应商应按项目特点编制供货方案</w:t>
      </w:r>
      <w:r>
        <w:rPr>
          <w:rFonts w:hint="eastAsia" w:ascii="Times New Roman"/>
          <w:color w:val="auto"/>
          <w:sz w:val="24"/>
          <w:szCs w:val="24"/>
          <w:lang w:eastAsia="zh-CN"/>
        </w:rPr>
        <w:t>，</w:t>
      </w:r>
      <w:r>
        <w:rPr>
          <w:rFonts w:hint="eastAsia" w:ascii="Times New Roman"/>
          <w:color w:val="auto"/>
          <w:sz w:val="24"/>
          <w:szCs w:val="24"/>
          <w:lang w:val="en-US" w:eastAsia="zh-CN"/>
        </w:rPr>
        <w:t>文字宜精炼，内容具有可行性、针对性</w:t>
      </w:r>
      <w:r>
        <w:rPr>
          <w:rFonts w:hint="eastAsia" w:ascii="Times New Roman"/>
          <w:color w:val="auto"/>
          <w:sz w:val="24"/>
          <w:szCs w:val="24"/>
          <w:lang w:eastAsia="zh-CN"/>
        </w:rPr>
        <w:t>。</w:t>
      </w: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ascii="Times New Roman" w:hAnsi="Times New Roman" w:eastAsia="黑体" w:cs="Times New Roman"/>
          <w:sz w:val="28"/>
          <w:szCs w:val="28"/>
        </w:rPr>
      </w:pPr>
    </w:p>
    <w:p>
      <w:pPr>
        <w:pStyle w:val="18"/>
        <w:rPr>
          <w:rFonts w:hint="eastAsia" w:ascii="Times New Roman" w:hAnsi="Times New Roman" w:eastAsia="黑体" w:cs="Times New Roman"/>
          <w:sz w:val="28"/>
          <w:szCs w:val="28"/>
        </w:rPr>
      </w:pPr>
    </w:p>
    <w:p>
      <w:pPr>
        <w:rPr>
          <w:rFonts w:hint="eastAsia"/>
        </w:rPr>
      </w:pPr>
    </w:p>
    <w:p>
      <w:pPr>
        <w:pStyle w:val="18"/>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2"/>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pStyle w:val="30"/>
        <w:rPr>
          <w:rFonts w:hint="eastAsia"/>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七</w:t>
      </w:r>
      <w:r>
        <w:rPr>
          <w:rFonts w:ascii="Times New Roman" w:hAnsi="Times New Roman" w:eastAsia="黑体" w:cs="Times New Roman"/>
          <w:sz w:val="28"/>
          <w:szCs w:val="28"/>
        </w:rPr>
        <w:t>、其</w:t>
      </w:r>
      <w:bookmarkEnd w:id="145"/>
      <w:r>
        <w:rPr>
          <w:rFonts w:hint="eastAsia" w:ascii="Times New Roman" w:hAnsi="Times New Roman" w:eastAsia="黑体" w:cs="Times New Roman"/>
          <w:sz w:val="28"/>
          <w:szCs w:val="28"/>
          <w:lang w:val="en-US" w:eastAsia="zh-CN"/>
        </w:rPr>
        <w:t>他</w:t>
      </w:r>
      <w:r>
        <w:rPr>
          <w:rFonts w:ascii="Times New Roman" w:hAnsi="Times New Roman" w:eastAsia="黑体" w:cs="Times New Roman"/>
          <w:sz w:val="28"/>
          <w:szCs w:val="28"/>
        </w:rPr>
        <w:t>材料</w:t>
      </w:r>
      <w:bookmarkEnd w:id="146"/>
      <w:bookmarkEnd w:id="147"/>
      <w:bookmarkEnd w:id="148"/>
      <w:bookmarkEnd w:id="149"/>
      <w:bookmarkEnd w:id="150"/>
    </w:p>
    <w:p>
      <w:pPr>
        <w:pStyle w:val="30"/>
        <w:rPr>
          <w:rFonts w:hint="default" w:ascii="Times New Roman" w:hAnsi="Times New Roman"/>
          <w:color w:val="auto"/>
          <w:szCs w:val="28"/>
        </w:rPr>
      </w:pPr>
    </w:p>
    <w:p>
      <w:pPr>
        <w:pStyle w:val="30"/>
        <w:numPr>
          <w:ilvl w:val="0"/>
          <w:numId w:val="0"/>
        </w:numPr>
        <w:rPr>
          <w:rFonts w:hint="eastAsia" w:ascii="宋体" w:hAnsi="宋体" w:eastAsia="宋体" w:cs="宋体"/>
          <w:color w:val="auto"/>
          <w:szCs w:val="28"/>
        </w:rPr>
      </w:pPr>
      <w:r>
        <w:rPr>
          <w:rFonts w:hint="eastAsia" w:ascii="宋体" w:hAnsi="宋体" w:eastAsia="宋体" w:cs="宋体"/>
          <w:color w:val="auto"/>
          <w:szCs w:val="28"/>
        </w:rPr>
        <w:t>响应保证金的银行凭证（电汇回单）复印件等。</w:t>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r>
        <w:rPr>
          <w:rFonts w:ascii="Times New Roman" w:hAnsi="Times New Roman" w:eastAsia="黑体" w:cs="Times New Roman"/>
          <w:sz w:val="36"/>
          <w:szCs w:val="36"/>
        </w:rPr>
        <w:t>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r>
        <w:rPr>
          <w:rFonts w:ascii="Times New Roman" w:hAnsi="Times New Roman" w:eastAsia="黑体" w:cs="Times New Roman"/>
          <w:sz w:val="50"/>
          <w:szCs w:val="50"/>
        </w:rPr>
        <w:t>响  应  文  件</w:t>
      </w:r>
    </w:p>
    <w:p>
      <w:pPr>
        <w:pStyle w:val="18"/>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（报价文件）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r>
        <w:rPr>
          <w:rFonts w:ascii="Times New Roman" w:hAnsi="Times New Roman" w:eastAsia="黑体" w:cs="Times New Roman"/>
          <w:sz w:val="28"/>
          <w:szCs w:val="28"/>
        </w:rPr>
        <w:t>目     录</w:t>
      </w:r>
    </w:p>
    <w:p>
      <w:pPr>
        <w:spacing w:line="440" w:lineRule="exact"/>
        <w:rPr>
          <w:rFonts w:ascii="Times New Roman" w:hAnsi="Times New Roman" w:eastAsia="黑体" w:cs="Times New Roman"/>
          <w:sz w:val="20"/>
          <w:szCs w:val="20"/>
        </w:rPr>
      </w:pP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一、报价函</w:t>
      </w:r>
    </w:p>
    <w:p>
      <w:pPr>
        <w:spacing w:line="440" w:lineRule="exact"/>
        <w:ind w:firstLine="1200" w:firstLineChars="500"/>
        <w:rPr>
          <w:rFonts w:ascii="Times New Roman" w:hAnsi="Times New Roman" w:eastAsia="黑体" w:cs="Times New Roman"/>
          <w:sz w:val="24"/>
          <w:szCs w:val="24"/>
        </w:rPr>
      </w:pPr>
      <w:r>
        <w:rPr>
          <w:rFonts w:ascii="Times New Roman" w:hAnsi="Times New Roman" w:eastAsia="黑体" w:cs="Times New Roman"/>
          <w:sz w:val="24"/>
          <w:szCs w:val="24"/>
        </w:rPr>
        <w:t>二、已标价</w:t>
      </w:r>
      <w:r>
        <w:rPr>
          <w:rFonts w:hint="eastAsia" w:ascii="Times New Roman" w:hAnsi="Times New Roman" w:eastAsia="黑体" w:cs="Times New Roman"/>
          <w:sz w:val="24"/>
          <w:szCs w:val="24"/>
        </w:rPr>
        <w:t>的工程量</w:t>
      </w:r>
      <w:r>
        <w:rPr>
          <w:rFonts w:ascii="Times New Roman" w:hAnsi="Times New Roman" w:eastAsia="黑体" w:cs="Times New Roman"/>
          <w:sz w:val="24"/>
          <w:szCs w:val="24"/>
        </w:rPr>
        <w:t>清单</w:t>
      </w: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rPr>
          <w:rFonts w:ascii="Times New Roman" w:hAnsi="Times New Roman" w:eastAsia="黑体" w:cs="Times New Roman"/>
          <w:sz w:val="28"/>
          <w:szCs w:val="28"/>
        </w:rPr>
      </w:pPr>
    </w:p>
    <w:p>
      <w:pPr>
        <w:rPr>
          <w:rFonts w:ascii="Times New Roman" w:hAnsi="Times New Roman" w:eastAsia="黑体" w:cs="Times New Roman"/>
          <w:sz w:val="28"/>
          <w:szCs w:val="28"/>
        </w:rPr>
      </w:pPr>
    </w:p>
    <w:p>
      <w:pPr>
        <w:pStyle w:val="18"/>
      </w:pPr>
    </w:p>
    <w:p/>
    <w:p/>
    <w:p>
      <w:pPr>
        <w:numPr>
          <w:ilvl w:val="0"/>
          <w:numId w:val="0"/>
        </w:numPr>
        <w:spacing w:line="440" w:lineRule="exact"/>
        <w:jc w:val="center"/>
      </w:pPr>
      <w:r>
        <w:rPr>
          <w:rFonts w:hint="eastAsia" w:ascii="Times New Roman" w:hAnsi="Times New Roman" w:eastAsia="黑体" w:cs="Times New Roman"/>
          <w:sz w:val="28"/>
          <w:szCs w:val="28"/>
          <w:lang w:val="en-US" w:eastAsia="zh-CN"/>
        </w:rPr>
        <w:t>一、</w:t>
      </w:r>
      <w:r>
        <w:rPr>
          <w:rFonts w:ascii="Times New Roman" w:hAnsi="Times New Roman" w:eastAsia="黑体" w:cs="Times New Roman"/>
          <w:sz w:val="28"/>
          <w:szCs w:val="28"/>
        </w:rPr>
        <w:t>报价函</w:t>
      </w:r>
    </w:p>
    <w:p>
      <w:pPr>
        <w:pStyle w:val="18"/>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(项目名称)</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包</w:t>
      </w:r>
      <w:r>
        <w:rPr>
          <w:rFonts w:ascii="Times New Roman" w:hAnsi="Times New Roman" w:cs="Times New Roman"/>
          <w:sz w:val="24"/>
        </w:rPr>
        <w:t>询比文件的全部内容(含补遗书第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号至第</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号)，愿意以人民币(大写)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lang w:val="en-US" w:eastAsia="zh-CN"/>
        </w:rPr>
        <w:t>提供采购文件要求的货物、技术服务和质保售后服务，并按合同约定履行义务</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ascii="Times New Roman" w:hAnsi="Times New Roman" w:cs="Times New Roman"/>
          <w:sz w:val="24"/>
        </w:rPr>
        <w:t>2．我方承诺在响应有效期内不修改、撤销响应文件。</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3</w:t>
      </w:r>
      <w:r>
        <w:rPr>
          <w:rFonts w:ascii="Times New Roman" w:hAnsi="Times New Roman" w:cs="Times New Roman"/>
          <w:sz w:val="24"/>
        </w:rPr>
        <w:t>．我方在此声明，所递交的响应文件及有关资料内容完整、真实和准确。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4</w:t>
      </w:r>
      <w:r>
        <w:rPr>
          <w:rFonts w:ascii="Times New Roman" w:hAnsi="Times New Roman" w:cs="Times New Roman"/>
          <w:sz w:val="24"/>
        </w:rPr>
        <w:t>．</w:t>
      </w:r>
      <w:r>
        <w:rPr>
          <w:rFonts w:hint="eastAsia" w:ascii="Times New Roman" w:hAnsi="Times New Roman" w:cs="Times New Roman"/>
          <w:sz w:val="24"/>
        </w:rPr>
        <w:t>我方已按</w:t>
      </w:r>
      <w:r>
        <w:rPr>
          <w:rFonts w:hint="eastAsia" w:ascii="Times New Roman" w:hAnsi="Times New Roman" w:cs="Times New Roman"/>
          <w:sz w:val="24"/>
          <w:lang w:eastAsia="zh-CN"/>
        </w:rPr>
        <w:t>采购文件</w:t>
      </w:r>
      <w:r>
        <w:rPr>
          <w:rFonts w:hint="eastAsia" w:ascii="Times New Roman" w:hAnsi="Times New Roman" w:cs="Times New Roman"/>
          <w:sz w:val="24"/>
        </w:rPr>
        <w:t>要求详细审核并确认全部</w:t>
      </w:r>
      <w:r>
        <w:rPr>
          <w:rFonts w:hint="eastAsia" w:ascii="Times New Roman" w:hAnsi="Times New Roman" w:cs="Times New Roman"/>
          <w:sz w:val="24"/>
          <w:lang w:eastAsia="zh-CN"/>
        </w:rPr>
        <w:t>采购文件</w:t>
      </w:r>
      <w:r>
        <w:rPr>
          <w:rFonts w:hint="eastAsia" w:ascii="Times New Roman" w:hAnsi="Times New Roman" w:cs="Times New Roman"/>
          <w:sz w:val="24"/>
        </w:rPr>
        <w:t>及有关附件，充分理解投标价格不得低于企业个别成本有关规定。我方经成本核算，所填报的投标报价不低于企业个别成本。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5</w:t>
      </w:r>
      <w:r>
        <w:rPr>
          <w:rFonts w:hint="eastAsia" w:ascii="Times New Roman" w:hAnsi="Times New Roman" w:cs="Times New Roman"/>
          <w:sz w:val="24"/>
        </w:rPr>
        <w:t>．除非另外达成协议并生效，你方的中标通知书和本投标文件以及</w:t>
      </w:r>
      <w:r>
        <w:rPr>
          <w:rFonts w:hint="eastAsia" w:ascii="Times New Roman" w:hAnsi="Times New Roman" w:cs="Times New Roman"/>
          <w:sz w:val="24"/>
          <w:lang w:eastAsia="zh-CN"/>
        </w:rPr>
        <w:t>采购文件</w:t>
      </w:r>
      <w:r>
        <w:rPr>
          <w:rFonts w:hint="eastAsia" w:ascii="Times New Roman" w:hAnsi="Times New Roman" w:cs="Times New Roman"/>
          <w:sz w:val="24"/>
        </w:rPr>
        <w:t>、</w:t>
      </w:r>
      <w:r>
        <w:rPr>
          <w:rFonts w:hint="eastAsia" w:ascii="Times New Roman" w:hAnsi="Times New Roman" w:cs="Times New Roman"/>
          <w:sz w:val="24"/>
          <w:lang w:eastAsia="zh-CN"/>
        </w:rPr>
        <w:t>采购文件</w:t>
      </w:r>
      <w:r>
        <w:rPr>
          <w:rFonts w:hint="eastAsia" w:ascii="Times New Roman" w:hAnsi="Times New Roman" w:cs="Times New Roman"/>
          <w:sz w:val="24"/>
        </w:rPr>
        <w:t>澄清、修改、补充文件将成为约束双方的合同文件的组成部分。</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6.其他补充说明：</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none"/>
          <w:lang w:val="en-US" w:eastAsia="zh-CN"/>
        </w:rPr>
        <w:t>。</w:t>
      </w:r>
      <w:r>
        <w:rPr>
          <w:rFonts w:hint="eastAsia" w:ascii="Times New Roman" w:hAnsi="Times New Roman" w:cs="Times New Roman"/>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ascii="宋体" w:hAnsi="宋体" w:eastAsia="宋体" w:cs="宋体"/>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宋体" w:hAnsi="宋体" w:eastAsia="宋体" w:cs="宋体"/>
          <w:sz w:val="24"/>
          <w:szCs w:val="24"/>
        </w:rPr>
        <w:t>（签字或盖章）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numPr>
          <w:ilvl w:val="0"/>
          <w:numId w:val="0"/>
        </w:numPr>
        <w:spacing w:line="440" w:lineRule="exact"/>
        <w:jc w:val="center"/>
        <w:rPr>
          <w:rFonts w:hint="eastAsia" w:ascii="Times New Roman" w:hAnsi="Times New Roman" w:eastAsia="黑体" w:cs="Times New Roman"/>
          <w:sz w:val="28"/>
          <w:szCs w:val="28"/>
          <w:lang w:val="en-US" w:eastAsia="zh-CN"/>
        </w:rPr>
      </w:pPr>
      <w:bookmarkStart w:id="151" w:name="_Toc162490440"/>
      <w:bookmarkStart w:id="152" w:name="_Toc153421230"/>
      <w:bookmarkStart w:id="153" w:name="_Toc272486050"/>
      <w:r>
        <w:rPr>
          <w:rFonts w:hint="eastAsia" w:ascii="Times New Roman" w:hAnsi="Times New Roman" w:eastAsia="黑体" w:cs="Times New Roman"/>
          <w:sz w:val="28"/>
          <w:szCs w:val="28"/>
          <w:lang w:val="en-US" w:eastAsia="zh-CN"/>
        </w:rPr>
        <w:t>二、</w:t>
      </w:r>
      <w:bookmarkEnd w:id="151"/>
      <w:bookmarkEnd w:id="152"/>
      <w:bookmarkEnd w:id="153"/>
      <w:r>
        <w:rPr>
          <w:rFonts w:hint="eastAsia" w:ascii="Times New Roman" w:hAnsi="Times New Roman" w:eastAsia="黑体" w:cs="Times New Roman"/>
          <w:sz w:val="28"/>
          <w:szCs w:val="28"/>
          <w:lang w:val="en-US" w:eastAsia="zh-CN"/>
        </w:rPr>
        <w:t>已标价的工程量清单</w:t>
      </w:r>
    </w:p>
    <w:p>
      <w:pPr>
        <w:spacing w:line="440" w:lineRule="exact"/>
        <w:rPr>
          <w:rFonts w:ascii="Times New Roman" w:hAnsi="Times New Roman" w:eastAsia="黑体" w:cs="Times New Roman"/>
          <w:color w:val="auto"/>
          <w:sz w:val="24"/>
          <w:highlight w:val="none"/>
        </w:rPr>
      </w:pPr>
    </w:p>
    <w:p>
      <w:pPr>
        <w:spacing w:line="360" w:lineRule="auto"/>
        <w:ind w:firstLine="281" w:firstLineChars="100"/>
        <w:jc w:val="center"/>
        <w:rPr>
          <w:rFonts w:hint="eastAsia" w:ascii="宋体" w:hAnsi="宋体" w:cs="宋体"/>
          <w:b/>
          <w:bCs/>
          <w:sz w:val="28"/>
          <w:szCs w:val="28"/>
          <w:highlight w:val="none"/>
        </w:rPr>
      </w:pPr>
      <w:r>
        <w:rPr>
          <w:rFonts w:hint="eastAsia" w:ascii="宋体" w:hAnsi="宋体" w:cs="宋体"/>
          <w:b/>
          <w:bCs/>
          <w:sz w:val="28"/>
          <w:szCs w:val="28"/>
          <w:highlight w:val="none"/>
        </w:rPr>
        <w:t>A．说明</w:t>
      </w:r>
    </w:p>
    <w:p>
      <w:pPr>
        <w:spacing w:line="360" w:lineRule="auto"/>
        <w:ind w:firstLine="437"/>
        <w:rPr>
          <w:sz w:val="22"/>
          <w:szCs w:val="21"/>
          <w:highlight w:val="none"/>
        </w:rPr>
      </w:pPr>
      <w:r>
        <w:rPr>
          <w:sz w:val="22"/>
          <w:szCs w:val="21"/>
          <w:highlight w:val="none"/>
        </w:rPr>
        <w:t>1．本</w:t>
      </w:r>
      <w:r>
        <w:rPr>
          <w:rFonts w:hint="eastAsia"/>
          <w:sz w:val="22"/>
          <w:szCs w:val="21"/>
          <w:highlight w:val="none"/>
        </w:rPr>
        <w:t>报价</w:t>
      </w:r>
      <w:r>
        <w:rPr>
          <w:sz w:val="22"/>
          <w:szCs w:val="21"/>
          <w:highlight w:val="none"/>
        </w:rPr>
        <w:t>清单应与投标人须知、专用合同条款、技术规格等文件结合起来查阅与理解。</w:t>
      </w:r>
    </w:p>
    <w:p>
      <w:pPr>
        <w:spacing w:line="360" w:lineRule="auto"/>
        <w:ind w:firstLine="437"/>
        <w:rPr>
          <w:sz w:val="22"/>
          <w:szCs w:val="21"/>
          <w:highlight w:val="none"/>
        </w:rPr>
      </w:pPr>
      <w:r>
        <w:rPr>
          <w:sz w:val="22"/>
          <w:szCs w:val="21"/>
          <w:highlight w:val="none"/>
        </w:rPr>
        <w:t>2．除非合同另有规定，清单中综合单价和总价应包括了为实施和完成合同所需的设计费、制造费、材料费、利润、税费</w:t>
      </w:r>
      <w:r>
        <w:rPr>
          <w:rFonts w:hint="eastAsia"/>
          <w:sz w:val="22"/>
          <w:szCs w:val="21"/>
          <w:highlight w:val="none"/>
        </w:rPr>
        <w:t>（含增值税</w:t>
      </w:r>
      <w:r>
        <w:rPr>
          <w:rFonts w:hint="eastAsia"/>
          <w:sz w:val="22"/>
          <w:szCs w:val="21"/>
          <w:highlight w:val="none"/>
          <w:lang w:val="en-US" w:eastAsia="zh-CN"/>
        </w:rPr>
        <w:t>13%</w:t>
      </w:r>
      <w:r>
        <w:rPr>
          <w:rFonts w:hint="eastAsia"/>
          <w:sz w:val="22"/>
          <w:szCs w:val="21"/>
          <w:highlight w:val="none"/>
        </w:rPr>
        <w:t>）</w:t>
      </w:r>
      <w:r>
        <w:rPr>
          <w:sz w:val="22"/>
          <w:szCs w:val="21"/>
          <w:highlight w:val="none"/>
        </w:rPr>
        <w:t>、运输费、验收、取证、培训、技术服务、损耗费、检测费、商业保险费、验收费、安装调试费等达到使用条件及质保期维护维修的一切费用，以及合同约定的所有责任、义务和一般风险。</w:t>
      </w:r>
    </w:p>
    <w:p>
      <w:pPr>
        <w:spacing w:line="360" w:lineRule="auto"/>
        <w:ind w:firstLine="437"/>
        <w:rPr>
          <w:sz w:val="22"/>
          <w:szCs w:val="21"/>
          <w:highlight w:val="none"/>
        </w:rPr>
      </w:pPr>
      <w:r>
        <w:rPr>
          <w:sz w:val="22"/>
          <w:szCs w:val="21"/>
          <w:highlight w:val="none"/>
        </w:rPr>
        <w:t>3．</w:t>
      </w:r>
      <w:r>
        <w:rPr>
          <w:rFonts w:hint="eastAsia"/>
          <w:sz w:val="22"/>
          <w:szCs w:val="21"/>
          <w:highlight w:val="none"/>
        </w:rPr>
        <w:t>报价</w:t>
      </w:r>
      <w:r>
        <w:rPr>
          <w:sz w:val="22"/>
          <w:szCs w:val="21"/>
          <w:highlight w:val="none"/>
        </w:rPr>
        <w:t>清单中的各项费用货币单位均为人民币(元)。</w:t>
      </w:r>
    </w:p>
    <w:p>
      <w:pPr>
        <w:spacing w:line="360" w:lineRule="auto"/>
        <w:ind w:firstLine="437"/>
        <w:rPr>
          <w:rFonts w:hint="eastAsia"/>
          <w:sz w:val="22"/>
          <w:szCs w:val="21"/>
          <w:highlight w:val="none"/>
        </w:rPr>
      </w:pPr>
      <w:r>
        <w:rPr>
          <w:sz w:val="22"/>
          <w:szCs w:val="21"/>
          <w:highlight w:val="none"/>
        </w:rPr>
        <w:t>4．交货期以合同签订之日起算</w:t>
      </w:r>
      <w:r>
        <w:rPr>
          <w:rFonts w:hint="eastAsia"/>
          <w:sz w:val="22"/>
          <w:szCs w:val="21"/>
          <w:highlight w:val="none"/>
        </w:rPr>
        <w:t>。</w:t>
      </w:r>
    </w:p>
    <w:p>
      <w:pPr>
        <w:pStyle w:val="17"/>
        <w:jc w:val="right"/>
        <w:rPr>
          <w:rFonts w:hint="eastAsia"/>
          <w:lang w:val="en-US" w:eastAsia="zh-CN"/>
        </w:rPr>
      </w:pPr>
    </w:p>
    <w:p>
      <w:pPr>
        <w:pStyle w:val="17"/>
        <w:rPr>
          <w:rFonts w:hint="eastAsia"/>
          <w:lang w:val="en-US" w:eastAsia="zh-CN"/>
        </w:rPr>
      </w:pPr>
    </w:p>
    <w:p>
      <w:pPr>
        <w:rPr>
          <w:rFonts w:hint="eastAsia"/>
          <w:lang w:val="en-US" w:eastAsia="zh-CN"/>
        </w:rPr>
      </w:pPr>
      <w:r>
        <w:rPr>
          <w:rFonts w:hint="eastAsia"/>
          <w:lang w:val="en-US" w:eastAsia="zh-CN"/>
        </w:rPr>
        <w:br w:type="page"/>
      </w:r>
    </w:p>
    <w:p>
      <w:pPr>
        <w:pStyle w:val="4"/>
        <w:numPr>
          <w:ilvl w:val="0"/>
          <w:numId w:val="0"/>
        </w:numPr>
        <w:ind w:left="417" w:leftChars="0"/>
        <w:jc w:val="center"/>
        <w:rPr>
          <w:rFonts w:hint="eastAsia" w:ascii="宋体" w:hAnsi="宋体" w:eastAsia="宋体" w:cs="宋体"/>
          <w:bCs/>
          <w:kern w:val="2"/>
          <w:sz w:val="28"/>
          <w:szCs w:val="28"/>
          <w:highlight w:val="none"/>
          <w:lang w:eastAsia="zh-CN"/>
        </w:rPr>
      </w:pPr>
      <w:r>
        <w:rPr>
          <w:rFonts w:hint="eastAsia" w:ascii="宋体" w:hAnsi="宋体" w:cs="宋体"/>
          <w:b w:val="0"/>
          <w:bCs/>
          <w:sz w:val="28"/>
          <w:szCs w:val="24"/>
          <w:highlight w:val="none"/>
        </w:rPr>
        <w:t xml:space="preserve">B. </w:t>
      </w:r>
      <w:r>
        <w:rPr>
          <w:rFonts w:hint="eastAsia" w:ascii="宋体" w:hAnsi="宋体" w:eastAsia="宋体" w:cs="宋体"/>
          <w:bCs/>
          <w:kern w:val="2"/>
          <w:sz w:val="28"/>
          <w:szCs w:val="28"/>
          <w:highlight w:val="none"/>
          <w:lang w:eastAsia="zh-CN"/>
        </w:rPr>
        <w:t>已标价工程量清单</w:t>
      </w:r>
    </w:p>
    <w:p>
      <w:pPr>
        <w:spacing w:line="360" w:lineRule="auto"/>
        <w:ind w:firstLine="480" w:firstLineChars="200"/>
        <w:rPr>
          <w:rFonts w:hint="eastAsia"/>
          <w:highlight w:val="none"/>
        </w:rPr>
      </w:pPr>
      <w:r>
        <w:rPr>
          <w:rFonts w:hint="eastAsia" w:ascii="宋体" w:hAnsi="宋体" w:cs="宋体"/>
          <w:bCs/>
          <w:sz w:val="24"/>
          <w:szCs w:val="24"/>
          <w:highlight w:val="none"/>
        </w:rPr>
        <w:t>投标人按照</w:t>
      </w:r>
      <w:r>
        <w:rPr>
          <w:rFonts w:hint="eastAsia" w:ascii="宋体" w:hAnsi="宋体" w:cs="宋体"/>
          <w:bCs/>
          <w:sz w:val="24"/>
          <w:szCs w:val="24"/>
          <w:highlight w:val="none"/>
          <w:lang w:eastAsia="zh-CN"/>
        </w:rPr>
        <w:t>采购人</w:t>
      </w:r>
      <w:r>
        <w:rPr>
          <w:rFonts w:hint="eastAsia" w:ascii="宋体" w:hAnsi="宋体" w:cs="宋体"/>
          <w:bCs/>
          <w:sz w:val="24"/>
          <w:szCs w:val="24"/>
          <w:highlight w:val="none"/>
        </w:rPr>
        <w:t>提供的“工程量清单”的要求逐项填报工程量清单，包括但不限于工程量清单说明、投标报价说明及工程量清单各项表格。</w:t>
      </w:r>
    </w:p>
    <w:p>
      <w:pPr>
        <w:pStyle w:val="17"/>
        <w:rPr>
          <w:rFonts w:hint="eastAsia"/>
          <w:lang w:val="en-US" w:eastAsia="zh-CN"/>
        </w:rPr>
      </w:pPr>
    </w:p>
    <w:p>
      <w:pPr>
        <w:rPr>
          <w:rFonts w:hint="eastAsia"/>
          <w:lang w:val="en-US" w:eastAsia="zh-CN"/>
        </w:rPr>
      </w:pPr>
      <w:r>
        <w:rPr>
          <w:rFonts w:hint="eastAsia"/>
          <w:lang w:val="en-US" w:eastAsia="zh-CN"/>
        </w:rPr>
        <w:br w:type="page"/>
      </w:r>
    </w:p>
    <w:p>
      <w:pPr>
        <w:pStyle w:val="17"/>
        <w:rPr>
          <w:rFonts w:hint="default"/>
          <w:lang w:val="en-US" w:eastAsia="zh-CN"/>
        </w:rPr>
      </w:pPr>
      <w:r>
        <w:rPr>
          <w:rFonts w:hint="eastAsia"/>
          <w:lang w:val="en-US" w:eastAsia="zh-CN"/>
        </w:rPr>
        <w:t>（后附工程量报价清单）</w:t>
      </w: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17"/>
        <w:rPr>
          <w:rFonts w:hint="eastAsia"/>
          <w:lang w:val="en-US" w:eastAsia="zh-C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pPr>
        <w:pStyle w:val="9"/>
        <w:adjustRightInd w:val="0"/>
        <w:snapToGrid w:val="0"/>
        <w:jc w:val="center"/>
        <w:rPr>
          <w:rFonts w:ascii="Times New Roman" w:hAnsi="Times New Roman" w:cs="Times New Roman"/>
        </w:rPr>
      </w:pPr>
    </w:p>
    <w:p/>
    <w:sectPr>
      <w:headerReference r:id="rId14" w:type="default"/>
      <w:footerReference r:id="rId1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安徽省经工物资有限公司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6" o:spt="136" type="#_x0000_t136" style="position:absolute;left:0pt;height:62.3pt;width:524.9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安徽省经工物资有限公司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F0C7C81"/>
    <w:multiLevelType w:val="singleLevel"/>
    <w:tmpl w:val="AF0C7C81"/>
    <w:lvl w:ilvl="0" w:tentative="0">
      <w:start w:val="1"/>
      <w:numFmt w:val="decimal"/>
      <w:suff w:val="nothing"/>
      <w:lvlText w:val="（%1）"/>
      <w:lvlJc w:val="left"/>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61C7D68E"/>
    <w:multiLevelType w:val="singleLevel"/>
    <w:tmpl w:val="61C7D68E"/>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NDFlYjFmMjQ0NTA5NzRlMjAxMjJjOTAwY2Y1YzkifQ=="/>
  </w:docVars>
  <w:rsids>
    <w:rsidRoot w:val="6F4D02A4"/>
    <w:rsid w:val="0022317B"/>
    <w:rsid w:val="00302DB5"/>
    <w:rsid w:val="00302F3A"/>
    <w:rsid w:val="005607D6"/>
    <w:rsid w:val="00653222"/>
    <w:rsid w:val="00691F7C"/>
    <w:rsid w:val="00724BD4"/>
    <w:rsid w:val="007C6E94"/>
    <w:rsid w:val="00E8570D"/>
    <w:rsid w:val="023E3C6A"/>
    <w:rsid w:val="028D5673"/>
    <w:rsid w:val="02D346A3"/>
    <w:rsid w:val="038863C7"/>
    <w:rsid w:val="03A9557F"/>
    <w:rsid w:val="04701D1E"/>
    <w:rsid w:val="04E034BC"/>
    <w:rsid w:val="05F94BA8"/>
    <w:rsid w:val="06341F34"/>
    <w:rsid w:val="06670E60"/>
    <w:rsid w:val="068727A0"/>
    <w:rsid w:val="07063EDC"/>
    <w:rsid w:val="073835B2"/>
    <w:rsid w:val="076958CF"/>
    <w:rsid w:val="09210464"/>
    <w:rsid w:val="0A2E7496"/>
    <w:rsid w:val="0A466107"/>
    <w:rsid w:val="0A941F2B"/>
    <w:rsid w:val="0AAD73BC"/>
    <w:rsid w:val="0BA10DDD"/>
    <w:rsid w:val="0BDD422F"/>
    <w:rsid w:val="0C425774"/>
    <w:rsid w:val="0DBD0BDC"/>
    <w:rsid w:val="0DE02F17"/>
    <w:rsid w:val="0EBA46A3"/>
    <w:rsid w:val="0EBB2DAD"/>
    <w:rsid w:val="0F531ACB"/>
    <w:rsid w:val="0F6F4854"/>
    <w:rsid w:val="0F9F0794"/>
    <w:rsid w:val="0FBE1FCA"/>
    <w:rsid w:val="103E486A"/>
    <w:rsid w:val="106D5B52"/>
    <w:rsid w:val="1090350E"/>
    <w:rsid w:val="10944070"/>
    <w:rsid w:val="10A6372F"/>
    <w:rsid w:val="10DA535D"/>
    <w:rsid w:val="10F91F06"/>
    <w:rsid w:val="110D2AFF"/>
    <w:rsid w:val="11DF30C9"/>
    <w:rsid w:val="11F117DD"/>
    <w:rsid w:val="129325F3"/>
    <w:rsid w:val="12FA3B2F"/>
    <w:rsid w:val="13431F92"/>
    <w:rsid w:val="13E11194"/>
    <w:rsid w:val="144A391D"/>
    <w:rsid w:val="149434CF"/>
    <w:rsid w:val="150E5893"/>
    <w:rsid w:val="15133F2C"/>
    <w:rsid w:val="15C3657D"/>
    <w:rsid w:val="163D1F3A"/>
    <w:rsid w:val="16414AC9"/>
    <w:rsid w:val="188C4113"/>
    <w:rsid w:val="191A46EE"/>
    <w:rsid w:val="19647370"/>
    <w:rsid w:val="19DE1C05"/>
    <w:rsid w:val="1A185E2C"/>
    <w:rsid w:val="1A3C6E09"/>
    <w:rsid w:val="1A657CD8"/>
    <w:rsid w:val="1AA97D25"/>
    <w:rsid w:val="1B87260E"/>
    <w:rsid w:val="1C0C5403"/>
    <w:rsid w:val="1C511068"/>
    <w:rsid w:val="1CB03FE0"/>
    <w:rsid w:val="1CD07137"/>
    <w:rsid w:val="1CF12CD2"/>
    <w:rsid w:val="1D3772E3"/>
    <w:rsid w:val="1D3F5364"/>
    <w:rsid w:val="1D9C6C71"/>
    <w:rsid w:val="1DD02C25"/>
    <w:rsid w:val="1E7E7378"/>
    <w:rsid w:val="1F8615BF"/>
    <w:rsid w:val="1F93095F"/>
    <w:rsid w:val="1FB449F5"/>
    <w:rsid w:val="1FC01B05"/>
    <w:rsid w:val="20220D88"/>
    <w:rsid w:val="202D724A"/>
    <w:rsid w:val="20432E03"/>
    <w:rsid w:val="20CE712B"/>
    <w:rsid w:val="20E701EC"/>
    <w:rsid w:val="2211172D"/>
    <w:rsid w:val="22456F98"/>
    <w:rsid w:val="22A243CB"/>
    <w:rsid w:val="23610B8C"/>
    <w:rsid w:val="241D716E"/>
    <w:rsid w:val="25CC7C14"/>
    <w:rsid w:val="2613091A"/>
    <w:rsid w:val="265909F3"/>
    <w:rsid w:val="26E81DCB"/>
    <w:rsid w:val="27621A0B"/>
    <w:rsid w:val="279E7B84"/>
    <w:rsid w:val="27B103DE"/>
    <w:rsid w:val="285445B2"/>
    <w:rsid w:val="28D24D9C"/>
    <w:rsid w:val="28FE7045"/>
    <w:rsid w:val="2941798C"/>
    <w:rsid w:val="294C5129"/>
    <w:rsid w:val="295C70D0"/>
    <w:rsid w:val="2A8F70B0"/>
    <w:rsid w:val="2AE43776"/>
    <w:rsid w:val="2B1D5459"/>
    <w:rsid w:val="2D141CF6"/>
    <w:rsid w:val="2D984126"/>
    <w:rsid w:val="2E0A4375"/>
    <w:rsid w:val="2E6740D2"/>
    <w:rsid w:val="2ED8288A"/>
    <w:rsid w:val="300246FB"/>
    <w:rsid w:val="304C62DA"/>
    <w:rsid w:val="30793AE8"/>
    <w:rsid w:val="30C628C5"/>
    <w:rsid w:val="319B3695"/>
    <w:rsid w:val="32332253"/>
    <w:rsid w:val="324271A8"/>
    <w:rsid w:val="32B15339"/>
    <w:rsid w:val="333F226C"/>
    <w:rsid w:val="33C26030"/>
    <w:rsid w:val="35201A23"/>
    <w:rsid w:val="35843E04"/>
    <w:rsid w:val="35B540D6"/>
    <w:rsid w:val="361938E0"/>
    <w:rsid w:val="36C144C3"/>
    <w:rsid w:val="388C7CC2"/>
    <w:rsid w:val="38B92676"/>
    <w:rsid w:val="39B20761"/>
    <w:rsid w:val="39F257E0"/>
    <w:rsid w:val="3A1F1997"/>
    <w:rsid w:val="3B096510"/>
    <w:rsid w:val="3B414529"/>
    <w:rsid w:val="3B47240E"/>
    <w:rsid w:val="3B7C2F21"/>
    <w:rsid w:val="3B8A41D3"/>
    <w:rsid w:val="3BC00DC4"/>
    <w:rsid w:val="3C651D50"/>
    <w:rsid w:val="3CF7310E"/>
    <w:rsid w:val="3E103B9E"/>
    <w:rsid w:val="3E2829E9"/>
    <w:rsid w:val="3E5113D8"/>
    <w:rsid w:val="3FB452E6"/>
    <w:rsid w:val="3FF744E4"/>
    <w:rsid w:val="403D54CD"/>
    <w:rsid w:val="408028ED"/>
    <w:rsid w:val="41212AAF"/>
    <w:rsid w:val="4178455B"/>
    <w:rsid w:val="41B873F1"/>
    <w:rsid w:val="41BB6E00"/>
    <w:rsid w:val="41CF3C5E"/>
    <w:rsid w:val="41FB71FC"/>
    <w:rsid w:val="426A68F1"/>
    <w:rsid w:val="426B29F2"/>
    <w:rsid w:val="42754E3B"/>
    <w:rsid w:val="42ED38B0"/>
    <w:rsid w:val="442716E3"/>
    <w:rsid w:val="44623B29"/>
    <w:rsid w:val="44CB7E92"/>
    <w:rsid w:val="44D53D34"/>
    <w:rsid w:val="4551727C"/>
    <w:rsid w:val="45E82159"/>
    <w:rsid w:val="460C19D8"/>
    <w:rsid w:val="46767799"/>
    <w:rsid w:val="475036EC"/>
    <w:rsid w:val="476304E5"/>
    <w:rsid w:val="48407E8B"/>
    <w:rsid w:val="48941C0A"/>
    <w:rsid w:val="48AE683B"/>
    <w:rsid w:val="48F03833"/>
    <w:rsid w:val="4A304D72"/>
    <w:rsid w:val="4ADA08DD"/>
    <w:rsid w:val="4B302190"/>
    <w:rsid w:val="4C0D05F0"/>
    <w:rsid w:val="4C6063F0"/>
    <w:rsid w:val="4D237C5B"/>
    <w:rsid w:val="4DB33731"/>
    <w:rsid w:val="4DB34E9F"/>
    <w:rsid w:val="4E040F77"/>
    <w:rsid w:val="4F0478A8"/>
    <w:rsid w:val="4F570614"/>
    <w:rsid w:val="4F7A3E56"/>
    <w:rsid w:val="5051384E"/>
    <w:rsid w:val="50932863"/>
    <w:rsid w:val="50C64757"/>
    <w:rsid w:val="51801680"/>
    <w:rsid w:val="524B7D2C"/>
    <w:rsid w:val="525E7F64"/>
    <w:rsid w:val="528B597C"/>
    <w:rsid w:val="53C77F81"/>
    <w:rsid w:val="55CE5FAF"/>
    <w:rsid w:val="568D4A8B"/>
    <w:rsid w:val="5787376C"/>
    <w:rsid w:val="58340631"/>
    <w:rsid w:val="584307E1"/>
    <w:rsid w:val="588621CE"/>
    <w:rsid w:val="588927B2"/>
    <w:rsid w:val="58AC03AC"/>
    <w:rsid w:val="58B3037A"/>
    <w:rsid w:val="598F3C15"/>
    <w:rsid w:val="5A1256BA"/>
    <w:rsid w:val="5AB51CCA"/>
    <w:rsid w:val="5AB57322"/>
    <w:rsid w:val="5AB86B82"/>
    <w:rsid w:val="5BC0596D"/>
    <w:rsid w:val="5BE5635E"/>
    <w:rsid w:val="5C03587B"/>
    <w:rsid w:val="5C4805D9"/>
    <w:rsid w:val="5DA53F1B"/>
    <w:rsid w:val="5DC63FF9"/>
    <w:rsid w:val="5FC627A0"/>
    <w:rsid w:val="5FD076A0"/>
    <w:rsid w:val="60CC0666"/>
    <w:rsid w:val="61393910"/>
    <w:rsid w:val="61DA4AD9"/>
    <w:rsid w:val="629D4803"/>
    <w:rsid w:val="62AE498D"/>
    <w:rsid w:val="63D57455"/>
    <w:rsid w:val="63FF44D2"/>
    <w:rsid w:val="64AB0CD1"/>
    <w:rsid w:val="64D84E1A"/>
    <w:rsid w:val="65675ED4"/>
    <w:rsid w:val="6683497C"/>
    <w:rsid w:val="676E5CC7"/>
    <w:rsid w:val="67E14BAB"/>
    <w:rsid w:val="67EE0AE5"/>
    <w:rsid w:val="67F71E56"/>
    <w:rsid w:val="684C44B3"/>
    <w:rsid w:val="68880F3A"/>
    <w:rsid w:val="690F1726"/>
    <w:rsid w:val="6A2D5CB0"/>
    <w:rsid w:val="6BB90159"/>
    <w:rsid w:val="6C111246"/>
    <w:rsid w:val="6C124248"/>
    <w:rsid w:val="6C6B059F"/>
    <w:rsid w:val="6CA00B62"/>
    <w:rsid w:val="6CFE27E3"/>
    <w:rsid w:val="6D274D94"/>
    <w:rsid w:val="6D955447"/>
    <w:rsid w:val="6DD01AB0"/>
    <w:rsid w:val="6DEB139F"/>
    <w:rsid w:val="6E8B3FD1"/>
    <w:rsid w:val="6E9D5013"/>
    <w:rsid w:val="6F4D02A4"/>
    <w:rsid w:val="6FDB7D0C"/>
    <w:rsid w:val="706B3710"/>
    <w:rsid w:val="706B4417"/>
    <w:rsid w:val="70784F6A"/>
    <w:rsid w:val="70B2470E"/>
    <w:rsid w:val="71817101"/>
    <w:rsid w:val="71943263"/>
    <w:rsid w:val="71B80224"/>
    <w:rsid w:val="720B21A0"/>
    <w:rsid w:val="72775B5D"/>
    <w:rsid w:val="72E163D5"/>
    <w:rsid w:val="730651BF"/>
    <w:rsid w:val="751540E3"/>
    <w:rsid w:val="757762DF"/>
    <w:rsid w:val="76085468"/>
    <w:rsid w:val="764861AD"/>
    <w:rsid w:val="765A1D4D"/>
    <w:rsid w:val="772B58B2"/>
    <w:rsid w:val="77822AD2"/>
    <w:rsid w:val="7846297D"/>
    <w:rsid w:val="791E0B39"/>
    <w:rsid w:val="79487052"/>
    <w:rsid w:val="79517C28"/>
    <w:rsid w:val="79E06FD9"/>
    <w:rsid w:val="7A2B3BCE"/>
    <w:rsid w:val="7AC3206E"/>
    <w:rsid w:val="7AFF6ACD"/>
    <w:rsid w:val="7B436E21"/>
    <w:rsid w:val="7CAA6238"/>
    <w:rsid w:val="7DA02855"/>
    <w:rsid w:val="7DC73E5B"/>
    <w:rsid w:val="7DC73F51"/>
    <w:rsid w:val="7E134C71"/>
    <w:rsid w:val="7F210F90"/>
    <w:rsid w:val="7FA24979"/>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6">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Body Text Indent"/>
    <w:basedOn w:val="1"/>
    <w:next w:val="8"/>
    <w:link w:val="36"/>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Plain Text"/>
    <w:basedOn w:val="1"/>
    <w:link w:val="37"/>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引用1"/>
    <w:basedOn w:val="1"/>
    <w:next w:val="1"/>
    <w:unhideWhenUsed/>
    <w:qFormat/>
    <w:uiPriority w:val="99"/>
    <w:pPr>
      <w:ind w:left="864" w:right="864"/>
      <w:jc w:val="center"/>
    </w:pPr>
    <w:rPr>
      <w:rFonts w:ascii="Times New Roman" w:hAnsi="Times New Roman"/>
      <w:i/>
      <w:iCs/>
      <w:color w:val="404040"/>
      <w:szCs w:val="21"/>
    </w:rPr>
  </w:style>
  <w:style w:type="paragraph" w:styleId="13">
    <w:name w:val="toc 1"/>
    <w:basedOn w:val="1"/>
    <w:next w:val="1"/>
    <w:qFormat/>
    <w:uiPriority w:val="0"/>
  </w:style>
  <w:style w:type="paragraph" w:styleId="14">
    <w:name w:val="footnote text"/>
    <w:basedOn w:val="1"/>
    <w:unhideWhenUsed/>
    <w:qFormat/>
    <w:uiPriority w:val="0"/>
    <w:pPr>
      <w:snapToGrid w:val="0"/>
      <w:jc w:val="left"/>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6">
    <w:name w:val="Title"/>
    <w:basedOn w:val="1"/>
    <w:next w:val="1"/>
    <w:qFormat/>
    <w:uiPriority w:val="0"/>
    <w:pPr>
      <w:tabs>
        <w:tab w:val="left" w:pos="450"/>
      </w:tabs>
      <w:ind w:left="450" w:hanging="450"/>
      <w:jc w:val="center"/>
    </w:pPr>
    <w:rPr>
      <w:rFonts w:ascii="黑体" w:eastAsia="黑体"/>
      <w:sz w:val="32"/>
      <w:szCs w:val="20"/>
    </w:rPr>
  </w:style>
  <w:style w:type="paragraph" w:styleId="17">
    <w:name w:val="Body Text First Indent"/>
    <w:basedOn w:val="2"/>
    <w:qFormat/>
    <w:uiPriority w:val="99"/>
    <w:pPr>
      <w:ind w:firstLine="420" w:firstLineChars="100"/>
    </w:pPr>
  </w:style>
  <w:style w:type="paragraph" w:styleId="18">
    <w:name w:val="Body Text First Indent 2"/>
    <w:basedOn w:val="7"/>
    <w:next w:val="1"/>
    <w:qFormat/>
    <w:uiPriority w:val="0"/>
    <w:pPr>
      <w:ind w:firstLine="420" w:firstLineChars="200"/>
    </w:pPr>
    <w:rPr>
      <w:rFonts w:ascii="Calibri" w:hAnsi="Calibri"/>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basedOn w:val="21"/>
    <w:qFormat/>
    <w:uiPriority w:val="0"/>
    <w:rPr>
      <w:color w:val="555555"/>
      <w:u w:val="none"/>
    </w:rPr>
  </w:style>
  <w:style w:type="character" w:styleId="24">
    <w:name w:val="Emphasis"/>
    <w:basedOn w:val="21"/>
    <w:qFormat/>
    <w:uiPriority w:val="0"/>
  </w:style>
  <w:style w:type="character" w:styleId="25">
    <w:name w:val="HTML Definition"/>
    <w:basedOn w:val="21"/>
    <w:qFormat/>
    <w:uiPriority w:val="0"/>
  </w:style>
  <w:style w:type="character" w:styleId="26">
    <w:name w:val="HTML Variable"/>
    <w:basedOn w:val="21"/>
    <w:qFormat/>
    <w:uiPriority w:val="0"/>
  </w:style>
  <w:style w:type="character" w:styleId="27">
    <w:name w:val="Hyperlink"/>
    <w:basedOn w:val="21"/>
    <w:unhideWhenUsed/>
    <w:qFormat/>
    <w:uiPriority w:val="99"/>
    <w:rPr>
      <w:rFonts w:ascii="Times New Roman" w:hAnsi="Times New Roman" w:eastAsia="宋体" w:cs="Times New Roman"/>
      <w:color w:val="0000FF"/>
      <w:kern w:val="2"/>
      <w:sz w:val="21"/>
      <w:szCs w:val="24"/>
      <w:u w:val="single"/>
      <w:lang w:eastAsia="zh-CN"/>
    </w:rPr>
  </w:style>
  <w:style w:type="character" w:styleId="28">
    <w:name w:val="HTML Cite"/>
    <w:basedOn w:val="21"/>
    <w:qFormat/>
    <w:uiPriority w:val="0"/>
  </w:style>
  <w:style w:type="character" w:styleId="29">
    <w:name w:val="footnote reference"/>
    <w:unhideWhenUsed/>
    <w:qFormat/>
    <w:uiPriority w:val="0"/>
    <w:rPr>
      <w:vertAlign w:val="superscript"/>
    </w:rPr>
  </w:style>
  <w:style w:type="paragraph" w:customStyle="1" w:styleId="3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character" w:customStyle="1" w:styleId="32">
    <w:name w:val="font61"/>
    <w:basedOn w:val="21"/>
    <w:qFormat/>
    <w:uiPriority w:val="0"/>
    <w:rPr>
      <w:rFonts w:hint="eastAsia" w:ascii="宋体" w:hAnsi="宋体" w:eastAsia="宋体" w:cs="宋体"/>
      <w:color w:val="000000"/>
      <w:sz w:val="20"/>
      <w:szCs w:val="20"/>
      <w:u w:val="none"/>
    </w:rPr>
  </w:style>
  <w:style w:type="character" w:customStyle="1" w:styleId="33">
    <w:name w:val="font141"/>
    <w:basedOn w:val="21"/>
    <w:qFormat/>
    <w:uiPriority w:val="0"/>
    <w:rPr>
      <w:rFonts w:hint="eastAsia" w:ascii="宋体" w:hAnsi="宋体" w:eastAsia="宋体" w:cs="宋体"/>
      <w:color w:val="000000"/>
      <w:sz w:val="24"/>
      <w:szCs w:val="24"/>
      <w:u w:val="none"/>
      <w:vertAlign w:val="superscript"/>
    </w:rPr>
  </w:style>
  <w:style w:type="paragraph" w:customStyle="1" w:styleId="34">
    <w:name w:val="样式 标题 2 + Times New Roman 四号 非加粗 段前: 5 磅 段后: 0 磅 行距: 固定值 20..."/>
    <w:basedOn w:val="4"/>
    <w:qFormat/>
    <w:uiPriority w:val="0"/>
    <w:pPr>
      <w:spacing w:before="100" w:line="400" w:lineRule="exact"/>
    </w:pPr>
    <w:rPr>
      <w:rFonts w:ascii="Times New Roman" w:hAnsi="Times New Roman" w:eastAsia="黑体" w:cs="宋体"/>
      <w:b w:val="0"/>
      <w:bCs w:val="0"/>
      <w:kern w:val="0"/>
      <w:szCs w:val="20"/>
    </w:rPr>
  </w:style>
  <w:style w:type="paragraph" w:customStyle="1" w:styleId="35">
    <w:name w:val="List Paragraph"/>
    <w:basedOn w:val="1"/>
    <w:qFormat/>
    <w:uiPriority w:val="1"/>
    <w:pPr>
      <w:ind w:left="235" w:hanging="527"/>
    </w:pPr>
    <w:rPr>
      <w:rFonts w:ascii="宋体" w:hAnsi="宋体" w:eastAsia="宋体" w:cs="宋体"/>
      <w:lang w:val="zh-CN" w:eastAsia="zh-CN" w:bidi="zh-CN"/>
    </w:rPr>
  </w:style>
  <w:style w:type="character" w:customStyle="1" w:styleId="36">
    <w:name w:val="正文文本缩进 Char"/>
    <w:link w:val="7"/>
    <w:qFormat/>
    <w:uiPriority w:val="0"/>
  </w:style>
  <w:style w:type="character" w:customStyle="1" w:styleId="37">
    <w:name w:val="纯文本 Char"/>
    <w:link w:val="9"/>
    <w:qFormat/>
    <w:uiPriority w:val="0"/>
    <w:rPr>
      <w:rFonts w:ascii="宋体" w:hAnsi="Courier New"/>
      <w:szCs w:val="20"/>
    </w:rPr>
  </w:style>
  <w:style w:type="paragraph" w:customStyle="1" w:styleId="38">
    <w:name w:val="Quote"/>
    <w:basedOn w:val="1"/>
    <w:next w:val="1"/>
    <w:unhideWhenUsed/>
    <w:qFormat/>
    <w:uiPriority w:val="99"/>
    <w:pPr>
      <w:ind w:left="864" w:right="864"/>
      <w:jc w:val="center"/>
    </w:pPr>
    <w:rPr>
      <w:rFonts w:ascii="Times New Roman" w:hAnsi="Times New Roman"/>
      <w:i/>
      <w:iCs/>
      <w:color w:val="404040"/>
      <w:szCs w:val="21"/>
    </w:rPr>
  </w:style>
  <w:style w:type="paragraph" w:customStyle="1" w:styleId="39">
    <w:name w:val="Table Paragraph"/>
    <w:basedOn w:val="1"/>
    <w:qFormat/>
    <w:uiPriority w:val="1"/>
    <w:rPr>
      <w:rFonts w:ascii="宋体" w:hAnsi="宋体" w:eastAsia="宋体" w:cs="宋体"/>
    </w:rPr>
  </w:style>
  <w:style w:type="table" w:customStyle="1" w:styleId="40">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1">
    <w:name w:val="Table Text"/>
    <w:semiHidden/>
    <w:qFormat/>
    <w:uiPriority w:val="0"/>
    <w:pPr>
      <w:widowControl w:val="0"/>
      <w:jc w:val="both"/>
    </w:pPr>
    <w:rPr>
      <w:rFonts w:ascii="宋体" w:hAnsi="宋体" w:eastAsia="宋体" w:cs="宋体"/>
      <w:kern w:val="2"/>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409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19721</Words>
  <Characters>20662</Characters>
  <Lines>180</Lines>
  <Paragraphs>50</Paragraphs>
  <TotalTime>2</TotalTime>
  <ScaleCrop>false</ScaleCrop>
  <LinksUpToDate>false</LinksUpToDate>
  <CharactersWithSpaces>28010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夜丶长枫</cp:lastModifiedBy>
  <cp:lastPrinted>2023-11-03T03:05:23Z</cp:lastPrinted>
  <dcterms:modified xsi:type="dcterms:W3CDTF">2023-11-03T03:05:38Z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8FC55AC1581641E4A9E1D8CE4982F008_13</vt:lpwstr>
  </property>
</Properties>
</file>